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1fob9te"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2416662</wp:posOffset>
            </wp:positionH>
            <wp:positionV relativeFrom="paragraph">
              <wp:posOffset>-221306</wp:posOffset>
            </wp:positionV>
            <wp:extent cx="1812583" cy="1371600"/>
            <wp:effectExtent b="0" l="0" r="0" t="0"/>
            <wp:wrapNone/>
            <wp:docPr id="1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812583" cy="137160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3448050</wp:posOffset>
            </wp:positionH>
            <wp:positionV relativeFrom="paragraph">
              <wp:posOffset>13432</wp:posOffset>
            </wp:positionV>
            <wp:extent cx="2916555" cy="1493841"/>
            <wp:effectExtent b="0" l="0" r="0" t="0"/>
            <wp:wrapNone/>
            <wp:docPr descr="https://www.coopacademies.co.uk/wp-content/uploads/2018/01/schools-1025-x-525.png" id="13" name="image2.png"/>
            <a:graphic>
              <a:graphicData uri="http://schemas.openxmlformats.org/drawingml/2006/picture">
                <pic:pic>
                  <pic:nvPicPr>
                    <pic:cNvPr descr="https://www.coopacademies.co.uk/wp-content/uploads/2018/01/schools-1025-x-525.png" id="0" name="image2.png"/>
                    <pic:cNvPicPr preferRelativeResize="0"/>
                  </pic:nvPicPr>
                  <pic:blipFill>
                    <a:blip r:embed="rId8"/>
                    <a:srcRect b="0" l="0" r="0" t="0"/>
                    <a:stretch>
                      <a:fillRect/>
                    </a:stretch>
                  </pic:blipFill>
                  <pic:spPr>
                    <a:xfrm>
                      <a:off x="0" y="0"/>
                      <a:ext cx="2916555" cy="1493841"/>
                    </a:xfrm>
                    <a:prstGeom prst="rect"/>
                    <a:ln/>
                  </pic:spPr>
                </pic:pic>
              </a:graphicData>
            </a:graphic>
          </wp:anchor>
        </w:drawing>
      </w:r>
    </w:p>
    <w:tbl>
      <w:tblPr>
        <w:tblStyle w:val="Table1"/>
        <w:tblW w:w="1039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91"/>
        <w:gridCol w:w="236"/>
        <w:gridCol w:w="5067"/>
        <w:tblGridChange w:id="0">
          <w:tblGrid>
            <w:gridCol w:w="5091"/>
            <w:gridCol w:w="236"/>
            <w:gridCol w:w="5067"/>
          </w:tblGrid>
        </w:tblGridChange>
      </w:tblGrid>
      <w:tr>
        <w:trPr>
          <w:cantSplit w:val="0"/>
          <w:tblHeader w:val="0"/>
        </w:trPr>
        <w:tc>
          <w:tcPr>
            <w:shd w:fill="e0f0fa" w:val="clear"/>
          </w:tcPr>
          <w:p w:rsidR="00000000" w:rsidDel="00000000" w:rsidP="00000000" w:rsidRDefault="00000000" w:rsidRPr="00000000" w14:paraId="00000008">
            <w:pPr>
              <w:rPr>
                <w:b w:val="1"/>
                <w:sz w:val="16"/>
                <w:szCs w:val="16"/>
              </w:rPr>
            </w:pPr>
            <w:r w:rsidDel="00000000" w:rsidR="00000000" w:rsidRPr="00000000">
              <w:rPr>
                <w:rtl w:val="0"/>
              </w:rPr>
            </w:r>
          </w:p>
          <w:p w:rsidR="00000000" w:rsidDel="00000000" w:rsidP="00000000" w:rsidRDefault="00000000" w:rsidRPr="00000000" w14:paraId="00000009">
            <w:pPr>
              <w:rPr>
                <w:b w:val="1"/>
                <w:sz w:val="36"/>
                <w:szCs w:val="36"/>
              </w:rPr>
            </w:pPr>
            <w:r w:rsidDel="00000000" w:rsidR="00000000" w:rsidRPr="00000000">
              <w:rPr>
                <w:b w:val="1"/>
                <w:sz w:val="36"/>
                <w:szCs w:val="36"/>
                <w:rtl w:val="0"/>
              </w:rPr>
              <w:t xml:space="preserve">Teaching Assistant </w:t>
            </w:r>
          </w:p>
          <w:p w:rsidR="00000000" w:rsidDel="00000000" w:rsidP="00000000" w:rsidRDefault="00000000" w:rsidRPr="00000000" w14:paraId="0000000A">
            <w:pPr>
              <w:rPr>
                <w:sz w:val="20"/>
                <w:szCs w:val="20"/>
              </w:rPr>
            </w:pPr>
            <w:r w:rsidDel="00000000" w:rsidR="00000000" w:rsidRPr="00000000">
              <w:rPr>
                <w:sz w:val="20"/>
                <w:szCs w:val="20"/>
                <w:rtl w:val="0"/>
              </w:rPr>
              <w:t xml:space="preserve">Co-op Academy Nightingale, LS9 7AX</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183" w:lineRule="auto"/>
              <w:rPr>
                <w:color w:val="000000"/>
                <w:sz w:val="16"/>
                <w:szCs w:val="16"/>
              </w:rPr>
            </w:pPr>
            <w:r w:rsidDel="00000000" w:rsidR="00000000" w:rsidRPr="00000000">
              <w:rPr>
                <w:b w:val="1"/>
                <w:color w:val="000000"/>
                <w:sz w:val="16"/>
                <w:szCs w:val="16"/>
                <w:rtl w:val="0"/>
              </w:rPr>
              <w:t xml:space="preserve">Salary:</w:t>
            </w:r>
            <w:r w:rsidDel="00000000" w:rsidR="00000000" w:rsidRPr="00000000">
              <w:rPr>
                <w:color w:val="000000"/>
                <w:sz w:val="16"/>
                <w:szCs w:val="16"/>
                <w:rtl w:val="0"/>
              </w:rPr>
              <w:t xml:space="preserve">  Scale point 7 -  £1</w:t>
            </w:r>
            <w:r w:rsidDel="00000000" w:rsidR="00000000" w:rsidRPr="00000000">
              <w:rPr>
                <w:sz w:val="16"/>
                <w:szCs w:val="16"/>
                <w:rtl w:val="0"/>
              </w:rPr>
              <w:t xml:space="preserve">9</w:t>
            </w:r>
            <w:r w:rsidDel="00000000" w:rsidR="00000000" w:rsidRPr="00000000">
              <w:rPr>
                <w:color w:val="000000"/>
                <w:sz w:val="16"/>
                <w:szCs w:val="16"/>
                <w:rtl w:val="0"/>
              </w:rPr>
              <w:t xml:space="preserve">,</w:t>
            </w:r>
            <w:r w:rsidDel="00000000" w:rsidR="00000000" w:rsidRPr="00000000">
              <w:rPr>
                <w:sz w:val="16"/>
                <w:szCs w:val="16"/>
                <w:rtl w:val="0"/>
              </w:rPr>
              <w:t xml:space="preserve">243</w:t>
            </w:r>
            <w:r w:rsidDel="00000000" w:rsidR="00000000" w:rsidRPr="00000000">
              <w:rPr>
                <w:color w:val="000000"/>
                <w:sz w:val="16"/>
                <w:szCs w:val="16"/>
                <w:rtl w:val="0"/>
              </w:rPr>
              <w:t xml:space="preserve"> actual salary</w:t>
            </w:r>
          </w:p>
          <w:p w:rsidR="00000000" w:rsidDel="00000000" w:rsidP="00000000" w:rsidRDefault="00000000" w:rsidRPr="00000000" w14:paraId="0000000D">
            <w:pPr>
              <w:rPr>
                <w:sz w:val="16"/>
                <w:szCs w:val="16"/>
              </w:rPr>
            </w:pPr>
            <w:r w:rsidDel="00000000" w:rsidR="00000000" w:rsidRPr="00000000">
              <w:rPr>
                <w:b w:val="1"/>
                <w:sz w:val="16"/>
                <w:szCs w:val="16"/>
                <w:rtl w:val="0"/>
              </w:rPr>
              <w:t xml:space="preserve">Hours per week:  </w:t>
            </w:r>
            <w:r w:rsidDel="00000000" w:rsidR="00000000" w:rsidRPr="00000000">
              <w:rPr>
                <w:sz w:val="16"/>
                <w:szCs w:val="16"/>
                <w:rtl w:val="0"/>
              </w:rPr>
              <w:t xml:space="preserve">32.5 (term time only + 5 training days) | </w:t>
            </w:r>
          </w:p>
          <w:p w:rsidR="00000000" w:rsidDel="00000000" w:rsidP="00000000" w:rsidRDefault="00000000" w:rsidRPr="00000000" w14:paraId="0000000E">
            <w:pPr>
              <w:rPr>
                <w:sz w:val="16"/>
                <w:szCs w:val="16"/>
              </w:rPr>
            </w:pPr>
            <w:r w:rsidDel="00000000" w:rsidR="00000000" w:rsidRPr="00000000">
              <w:rPr>
                <w:b w:val="1"/>
                <w:sz w:val="16"/>
                <w:szCs w:val="16"/>
                <w:rtl w:val="0"/>
              </w:rPr>
              <w:t xml:space="preserve">Required from: </w:t>
            </w:r>
            <w:r w:rsidDel="00000000" w:rsidR="00000000" w:rsidRPr="00000000">
              <w:rPr>
                <w:sz w:val="16"/>
                <w:szCs w:val="16"/>
                <w:rtl w:val="0"/>
              </w:rPr>
              <w:t xml:space="preserve">ASAP for the right candidate</w:t>
            </w:r>
          </w:p>
          <w:p w:rsidR="00000000" w:rsidDel="00000000" w:rsidP="00000000" w:rsidRDefault="00000000" w:rsidRPr="00000000" w14:paraId="0000000F">
            <w:pPr>
              <w:rPr>
                <w:b w:val="1"/>
                <w:sz w:val="16"/>
                <w:szCs w:val="16"/>
              </w:rPr>
            </w:pPr>
            <w:r w:rsidDel="00000000" w:rsidR="00000000" w:rsidRPr="00000000">
              <w:rPr>
                <w:b w:val="1"/>
                <w:sz w:val="16"/>
                <w:szCs w:val="16"/>
                <w:rtl w:val="0"/>
              </w:rPr>
              <w:t xml:space="preserve">Permanent </w:t>
            </w:r>
          </w:p>
          <w:p w:rsidR="00000000" w:rsidDel="00000000" w:rsidP="00000000" w:rsidRDefault="00000000" w:rsidRPr="00000000" w14:paraId="00000010">
            <w:pPr>
              <w:rPr>
                <w:sz w:val="16"/>
                <w:szCs w:val="16"/>
              </w:rPr>
            </w:pPr>
            <w:r w:rsidDel="00000000" w:rsidR="00000000" w:rsidRPr="00000000">
              <w:rPr>
                <w:rtl w:val="0"/>
              </w:rPr>
            </w:r>
          </w:p>
        </w:tc>
        <w:tc>
          <w:tcPr/>
          <w:p w:rsidR="00000000" w:rsidDel="00000000" w:rsidP="00000000" w:rsidRDefault="00000000" w:rsidRPr="00000000" w14:paraId="00000011">
            <w:pPr>
              <w:rPr>
                <w:sz w:val="28"/>
                <w:szCs w:val="28"/>
              </w:rPr>
            </w:pPr>
            <w:r w:rsidDel="00000000" w:rsidR="00000000" w:rsidRPr="00000000">
              <w:rPr>
                <w:rtl w:val="0"/>
              </w:rPr>
            </w:r>
          </w:p>
        </w:tc>
        <w:tc>
          <w:tcPr/>
          <w:p w:rsidR="00000000" w:rsidDel="00000000" w:rsidP="00000000" w:rsidRDefault="00000000" w:rsidRPr="00000000" w14:paraId="00000012">
            <w:pPr>
              <w:rPr>
                <w:sz w:val="28"/>
                <w:szCs w:val="28"/>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13">
            <w:pPr>
              <w:rPr>
                <w:sz w:val="36"/>
                <w:szCs w:val="36"/>
              </w:rPr>
            </w:pPr>
            <w:r w:rsidDel="00000000" w:rsidR="00000000" w:rsidRPr="00000000">
              <w:rPr>
                <w:rtl w:val="0"/>
              </w:rPr>
            </w:r>
          </w:p>
        </w:tc>
        <w:tc>
          <w:tcPr/>
          <w:p w:rsidR="00000000" w:rsidDel="00000000" w:rsidP="00000000" w:rsidRDefault="00000000" w:rsidRPr="00000000" w14:paraId="00000014">
            <w:pPr>
              <w:rPr>
                <w:sz w:val="28"/>
                <w:szCs w:val="28"/>
              </w:rPr>
            </w:pPr>
            <w:r w:rsidDel="00000000" w:rsidR="00000000" w:rsidRPr="00000000">
              <w:rPr>
                <w:rtl w:val="0"/>
              </w:rPr>
            </w:r>
          </w:p>
        </w:tc>
        <w:tc>
          <w:tcPr/>
          <w:p w:rsidR="00000000" w:rsidDel="00000000" w:rsidP="00000000" w:rsidRDefault="00000000" w:rsidRPr="00000000" w14:paraId="00000015">
            <w:pPr>
              <w:rPr>
                <w:sz w:val="28"/>
                <w:szCs w:val="28"/>
              </w:rPr>
            </w:pPr>
            <w:r w:rsidDel="00000000" w:rsidR="00000000" w:rsidRPr="00000000">
              <w:rPr>
                <w:rtl w:val="0"/>
              </w:rPr>
            </w:r>
          </w:p>
        </w:tc>
      </w:tr>
      <w:tr>
        <w:trPr>
          <w:cantSplit w:val="0"/>
          <w:tblHeader w:val="0"/>
        </w:trPr>
        <w:tc>
          <w:tcPr>
            <w:shd w:fill="e0f0fa" w:val="clear"/>
          </w:tcPr>
          <w:p w:rsidR="00000000" w:rsidDel="00000000" w:rsidP="00000000" w:rsidRDefault="00000000" w:rsidRPr="00000000" w14:paraId="00000016">
            <w:pPr>
              <w:jc w:val="both"/>
              <w:rPr>
                <w:sz w:val="20"/>
                <w:szCs w:val="20"/>
              </w:rPr>
            </w:pPr>
            <w:bookmarkStart w:colFirst="0" w:colLast="0" w:name="_heading=h.gjdgxs" w:id="1"/>
            <w:bookmarkEnd w:id="1"/>
            <w:r w:rsidDel="00000000" w:rsidR="00000000" w:rsidRPr="00000000">
              <w:rPr>
                <w:sz w:val="20"/>
                <w:szCs w:val="20"/>
                <w:rtl w:val="0"/>
              </w:rPr>
              <w:t xml:space="preserve">At Nightingale we’re committed to creating opportunities which enable our young people to reach their potential and as such, we’re looking for enthusiastic and talented TeachingAssistants to complement and reinforce our teaching and learning offer across the academy. </w:t>
            </w:r>
          </w:p>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Working in partnership with, and under the direction of our class teachers and senior leaders, you’ll provide support for various curriculum programmes and guide our young people to overcome their barriers to learning.</w:t>
            </w:r>
          </w:p>
          <w:p w:rsidR="00000000" w:rsidDel="00000000" w:rsidP="00000000" w:rsidRDefault="00000000" w:rsidRPr="00000000" w14:paraId="00000019">
            <w:pPr>
              <w:jc w:val="both"/>
              <w:rPr>
                <w:sz w:val="20"/>
                <w:szCs w:val="20"/>
              </w:rPr>
            </w:pPr>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Support may be provided on a whole-class, specific cohort, or one-to-one basis both in and outside of the learning space, sometimes encountering challenging behaviour and a wide range of abilities and needs. These could be specific learning needs, engagement issues and/or challenges with social, emotional and mental health and will truly mean that no two days are the same. It’s therefore imperative that you possess</w:t>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a high-level of emotional maturity and resilience and can adapt to changing priorities.</w:t>
            </w:r>
          </w:p>
          <w:p w:rsidR="00000000" w:rsidDel="00000000" w:rsidP="00000000" w:rsidRDefault="00000000" w:rsidRPr="00000000" w14:paraId="0000001C">
            <w:pPr>
              <w:jc w:val="both"/>
              <w:rPr>
                <w:sz w:val="20"/>
                <w:szCs w:val="20"/>
              </w:rPr>
            </w:pPr>
            <w:r w:rsidDel="00000000" w:rsidR="00000000" w:rsidRPr="00000000">
              <w:rPr>
                <w:rtl w:val="0"/>
              </w:rPr>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And of course, you’ll do all this whilst capturing the spirit of our vision and values and whilst role-modelling exceptional professional behaviours.</w:t>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As a colleague at Nightingale you’ll work within a diverse learning community, striving to deliver an outstanding working and learning experience for all. Therefore, a genuine passion for working and making a real difference in the community is essential.</w:t>
            </w:r>
          </w:p>
          <w:p w:rsidR="00000000" w:rsidDel="00000000" w:rsidP="00000000" w:rsidRDefault="00000000" w:rsidRPr="00000000" w14:paraId="0000001F">
            <w:pPr>
              <w:jc w:val="both"/>
              <w:rPr>
                <w:sz w:val="20"/>
                <w:szCs w:val="20"/>
              </w:rPr>
            </w:pPr>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So, if you thrive on making a real difference to the lives of children and young people, seeing them develop and achieve their potential, then we’d be delighted to hear from you.</w:t>
            </w:r>
          </w:p>
          <w:p w:rsidR="00000000" w:rsidDel="00000000" w:rsidP="00000000" w:rsidRDefault="00000000" w:rsidRPr="00000000" w14:paraId="00000021">
            <w:pPr>
              <w:jc w:val="both"/>
              <w:rPr>
                <w:sz w:val="20"/>
                <w:szCs w:val="20"/>
              </w:rPr>
            </w:pPr>
            <w:r w:rsidDel="00000000" w:rsidR="00000000" w:rsidRPr="00000000">
              <w:rPr>
                <w:rtl w:val="0"/>
              </w:rPr>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Further information can be found on our academy website at </w:t>
            </w:r>
            <w:hyperlink r:id="rId9">
              <w:r w:rsidDel="00000000" w:rsidR="00000000" w:rsidRPr="00000000">
                <w:rPr>
                  <w:color w:val="0563c1"/>
                  <w:sz w:val="20"/>
                  <w:szCs w:val="20"/>
                  <w:u w:val="single"/>
                  <w:rtl w:val="0"/>
                </w:rPr>
                <w:t xml:space="preserve">https://nightingale.coopacademies.co.uk/vacancies</w:t>
              </w:r>
            </w:hyperlink>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23">
            <w:pPr>
              <w:jc w:val="both"/>
              <w:rPr>
                <w:sz w:val="10"/>
                <w:szCs w:val="10"/>
              </w:rPr>
            </w:pPr>
            <w:r w:rsidDel="00000000" w:rsidR="00000000" w:rsidRPr="00000000">
              <w:rPr>
                <w:rtl w:val="0"/>
              </w:rPr>
            </w:r>
          </w:p>
        </w:tc>
        <w:tc>
          <w:tcPr/>
          <w:p w:rsidR="00000000" w:rsidDel="00000000" w:rsidP="00000000" w:rsidRDefault="00000000" w:rsidRPr="00000000" w14:paraId="00000024">
            <w:pPr>
              <w:rPr>
                <w:sz w:val="28"/>
                <w:szCs w:val="28"/>
              </w:rPr>
            </w:pPr>
            <w:r w:rsidDel="00000000" w:rsidR="00000000" w:rsidRPr="00000000">
              <w:rPr>
                <w:rtl w:val="0"/>
              </w:rPr>
            </w:r>
          </w:p>
        </w:tc>
        <w:tc>
          <w:tcPr>
            <w:shd w:fill="f3f3f3" w:val="clear"/>
          </w:tcPr>
          <w:p w:rsidR="00000000" w:rsidDel="00000000" w:rsidP="00000000" w:rsidRDefault="00000000" w:rsidRPr="00000000" w14:paraId="00000025">
            <w:pPr>
              <w:jc w:val="center"/>
              <w:rPr>
                <w:b w:val="1"/>
                <w:sz w:val="36"/>
                <w:szCs w:val="36"/>
              </w:rPr>
            </w:pPr>
            <w:r w:rsidDel="00000000" w:rsidR="00000000" w:rsidRPr="00000000">
              <w:rPr>
                <w:b w:val="1"/>
                <w:sz w:val="36"/>
                <w:szCs w:val="36"/>
                <w:rtl w:val="0"/>
              </w:rPr>
              <w:t xml:space="preserve">Perks</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jc w:val="both"/>
              <w:rPr>
                <w:sz w:val="20"/>
                <w:szCs w:val="20"/>
              </w:rPr>
            </w:pPr>
            <w:r w:rsidDel="00000000" w:rsidR="00000000" w:rsidRPr="00000000">
              <w:rPr>
                <w:b w:val="1"/>
                <w:sz w:val="20"/>
                <w:szCs w:val="20"/>
                <w:rtl w:val="0"/>
              </w:rPr>
              <w:t xml:space="preserve">What you do here really counts. And we offer a wide range of benefits and rewards to recognise the part you play in our success. Whether they benefit your finances, your wellbeing, or your family, in or outside work.  From career progression and working and making a difference within your local community, to a whole range of financial discounts and benefits, working at Co-op Academies Trust isn’t just your standard job</w:t>
            </w:r>
            <w:r w:rsidDel="00000000" w:rsidR="00000000" w:rsidRPr="00000000">
              <w:rPr>
                <w:sz w:val="20"/>
                <w:szCs w:val="20"/>
                <w:rtl w:val="0"/>
              </w:rPr>
              <w:t xml:space="preserve">.</w:t>
            </w:r>
            <w:r w:rsidDel="00000000" w:rsidR="00000000" w:rsidRPr="00000000">
              <w:rPr>
                <w:rFonts w:ascii="Avenir" w:cs="Avenir" w:eastAsia="Avenir" w:hAnsi="Avenir"/>
                <w:color w:val="282828"/>
                <w:highlight w:val="white"/>
                <w:rtl w:val="0"/>
              </w:rPr>
              <w:t xml:space="preserve"> </w:t>
            </w:r>
            <w:r w:rsidDel="00000000" w:rsidR="00000000" w:rsidRPr="00000000">
              <w:rPr>
                <w:rtl w:val="0"/>
              </w:rPr>
            </w:r>
          </w:p>
          <w:p w:rsidR="00000000" w:rsidDel="00000000" w:rsidP="00000000" w:rsidRDefault="00000000" w:rsidRPr="00000000" w14:paraId="00000028">
            <w:pPr>
              <w:jc w:val="both"/>
              <w:rPr>
                <w:sz w:val="20"/>
                <w:szCs w:val="20"/>
              </w:rPr>
            </w:pPr>
            <w:r w:rsidDel="00000000" w:rsidR="00000000" w:rsidRPr="00000000">
              <w:rPr>
                <w:rtl w:val="0"/>
              </w:rPr>
            </w:r>
          </w:p>
          <w:p w:rsidR="00000000" w:rsidDel="00000000" w:rsidP="00000000" w:rsidRDefault="00000000" w:rsidRPr="00000000" w14:paraId="00000029">
            <w:pPr>
              <w:jc w:val="both"/>
              <w:rPr>
                <w:b w:val="1"/>
                <w:sz w:val="20"/>
                <w:szCs w:val="20"/>
              </w:rPr>
            </w:pPr>
            <w:r w:rsidDel="00000000" w:rsidR="00000000" w:rsidRPr="00000000">
              <w:rPr>
                <w:b w:val="1"/>
                <w:sz w:val="20"/>
                <w:szCs w:val="20"/>
                <w:rtl w:val="0"/>
              </w:rPr>
              <w:t xml:space="preserve">Financial</w:t>
            </w:r>
          </w:p>
          <w:p w:rsidR="00000000" w:rsidDel="00000000" w:rsidP="00000000" w:rsidRDefault="00000000" w:rsidRPr="00000000" w14:paraId="0000002A">
            <w:pPr>
              <w:jc w:val="both"/>
              <w:rPr>
                <w:sz w:val="20"/>
                <w:szCs w:val="20"/>
              </w:rPr>
            </w:pPr>
            <w:r w:rsidDel="00000000" w:rsidR="00000000" w:rsidRPr="00000000">
              <w:rPr>
                <w:sz w:val="20"/>
                <w:szCs w:val="20"/>
                <w:rtl w:val="0"/>
              </w:rPr>
              <w:t xml:space="preserve">We offer competitive salaries and pension schemes as well as travel season ticket loans, 24-hour access to free money support, and for colleagues who want to save or need help managing debt we have savings and loan products which can be deducted from your pay.</w:t>
            </w:r>
          </w:p>
          <w:p w:rsidR="00000000" w:rsidDel="00000000" w:rsidP="00000000" w:rsidRDefault="00000000" w:rsidRPr="00000000" w14:paraId="0000002B">
            <w:pPr>
              <w:jc w:val="both"/>
              <w:rPr>
                <w:sz w:val="20"/>
                <w:szCs w:val="20"/>
              </w:rPr>
            </w:pPr>
            <w:r w:rsidDel="00000000" w:rsidR="00000000" w:rsidRPr="00000000">
              <w:rPr>
                <w:rtl w:val="0"/>
              </w:rPr>
            </w:r>
          </w:p>
          <w:p w:rsidR="00000000" w:rsidDel="00000000" w:rsidP="00000000" w:rsidRDefault="00000000" w:rsidRPr="00000000" w14:paraId="0000002C">
            <w:pPr>
              <w:jc w:val="both"/>
              <w:rPr>
                <w:b w:val="1"/>
                <w:sz w:val="20"/>
                <w:szCs w:val="20"/>
              </w:rPr>
            </w:pPr>
            <w:r w:rsidDel="00000000" w:rsidR="00000000" w:rsidRPr="00000000">
              <w:rPr>
                <w:b w:val="1"/>
                <w:sz w:val="20"/>
                <w:szCs w:val="20"/>
                <w:rtl w:val="0"/>
              </w:rPr>
              <w:t xml:space="preserve">Health</w:t>
            </w:r>
          </w:p>
          <w:p w:rsidR="00000000" w:rsidDel="00000000" w:rsidP="00000000" w:rsidRDefault="00000000" w:rsidRPr="00000000" w14:paraId="0000002D">
            <w:pPr>
              <w:jc w:val="both"/>
              <w:rPr>
                <w:sz w:val="20"/>
                <w:szCs w:val="20"/>
              </w:rPr>
            </w:pPr>
            <w:r w:rsidDel="00000000" w:rsidR="00000000" w:rsidRPr="00000000">
              <w:rPr>
                <w:sz w:val="20"/>
                <w:szCs w:val="20"/>
                <w:rtl w:val="0"/>
              </w:rPr>
              <w:t xml:space="preserve">We want you to stay happy and healthy. So as a teaching colleague you’ll get the school holiday period off work.  And even better, we offer a free flu vaccine, cycle to work scheme; 24-hour access to free health and wellbeing support and discounted gym membership at a number of popular gyms.</w:t>
            </w:r>
          </w:p>
          <w:p w:rsidR="00000000" w:rsidDel="00000000" w:rsidP="00000000" w:rsidRDefault="00000000" w:rsidRPr="00000000" w14:paraId="0000002E">
            <w:pPr>
              <w:jc w:val="both"/>
              <w:rPr>
                <w:sz w:val="20"/>
                <w:szCs w:val="20"/>
              </w:rPr>
            </w:pPr>
            <w:r w:rsidDel="00000000" w:rsidR="00000000" w:rsidRPr="00000000">
              <w:rPr>
                <w:rtl w:val="0"/>
              </w:rPr>
            </w:r>
          </w:p>
          <w:p w:rsidR="00000000" w:rsidDel="00000000" w:rsidP="00000000" w:rsidRDefault="00000000" w:rsidRPr="00000000" w14:paraId="0000002F">
            <w:pPr>
              <w:jc w:val="both"/>
              <w:rPr>
                <w:b w:val="1"/>
                <w:sz w:val="20"/>
                <w:szCs w:val="20"/>
              </w:rPr>
            </w:pPr>
            <w:r w:rsidDel="00000000" w:rsidR="00000000" w:rsidRPr="00000000">
              <w:rPr>
                <w:b w:val="1"/>
                <w:sz w:val="20"/>
                <w:szCs w:val="20"/>
                <w:rtl w:val="0"/>
              </w:rPr>
              <w:t xml:space="preserve">Discounts</w:t>
            </w:r>
          </w:p>
          <w:p w:rsidR="00000000" w:rsidDel="00000000" w:rsidP="00000000" w:rsidRDefault="00000000" w:rsidRPr="00000000" w14:paraId="00000030">
            <w:pPr>
              <w:jc w:val="both"/>
              <w:rPr>
                <w:sz w:val="20"/>
                <w:szCs w:val="20"/>
              </w:rPr>
            </w:pPr>
            <w:r w:rsidDel="00000000" w:rsidR="00000000" w:rsidRPr="00000000">
              <w:rPr>
                <w:sz w:val="20"/>
                <w:szCs w:val="20"/>
                <w:rtl w:val="0"/>
              </w:rPr>
              <w:t xml:space="preserve">We offer a 10% discount on Co-op Food plus discounts on legal services and funeral plans. You’ll also get access to Co-operative Flexible Benefits and MyActiveDiscounts, giving you discounts and offers from well-known brands on things like shopping, travel, eating out, theatre tickets and broadband.</w:t>
            </w:r>
          </w:p>
          <w:p w:rsidR="00000000" w:rsidDel="00000000" w:rsidP="00000000" w:rsidRDefault="00000000" w:rsidRPr="00000000" w14:paraId="00000031">
            <w:pPr>
              <w:jc w:val="both"/>
              <w:rPr>
                <w:sz w:val="20"/>
                <w:szCs w:val="20"/>
              </w:rPr>
            </w:pPr>
            <w:r w:rsidDel="00000000" w:rsidR="00000000" w:rsidRPr="00000000">
              <w:rPr>
                <w:rtl w:val="0"/>
              </w:rPr>
            </w:r>
          </w:p>
          <w:p w:rsidR="00000000" w:rsidDel="00000000" w:rsidP="00000000" w:rsidRDefault="00000000" w:rsidRPr="00000000" w14:paraId="00000032">
            <w:pPr>
              <w:jc w:val="both"/>
              <w:rPr>
                <w:sz w:val="20"/>
                <w:szCs w:val="20"/>
              </w:rPr>
            </w:pPr>
            <w:bookmarkStart w:colFirst="0" w:colLast="0" w:name="_heading=h.30j0zll" w:id="2"/>
            <w:bookmarkEnd w:id="2"/>
            <w:r w:rsidDel="00000000" w:rsidR="00000000" w:rsidRPr="00000000">
              <w:rPr>
                <w:sz w:val="20"/>
                <w:szCs w:val="20"/>
                <w:rtl w:val="0"/>
              </w:rPr>
              <w:t xml:space="preserve">Completed applications should be made through https://co-opacademiestrust.face-ed.co.uk/Vacancies</w:t>
            </w:r>
            <w:r w:rsidDel="00000000" w:rsidR="00000000" w:rsidRPr="00000000">
              <w:rPr>
                <w:sz w:val="20"/>
                <w:szCs w:val="20"/>
                <w:rtl w:val="0"/>
              </w:rPr>
              <w:t xml:space="preserve"> The closing deadline is 6th January 2025 12.00 noon.</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16"/>
                <w:szCs w:val="16"/>
              </w:rPr>
            </w:pPr>
            <w:r w:rsidDel="00000000" w:rsidR="00000000" w:rsidRPr="00000000">
              <w:rPr>
                <w:b w:val="1"/>
                <w:color w:val="000000"/>
                <w:sz w:val="16"/>
                <w:szCs w:val="16"/>
                <w:rtl w:val="0"/>
              </w:rPr>
              <w:t xml:space="preserve">Interviews:</w:t>
            </w:r>
            <w:r w:rsidDel="00000000" w:rsidR="00000000" w:rsidRPr="00000000">
              <w:rPr>
                <w:color w:val="000000"/>
                <w:sz w:val="16"/>
                <w:szCs w:val="16"/>
                <w:rtl w:val="0"/>
              </w:rPr>
              <w:t xml:space="preserve">  </w:t>
            </w:r>
            <w:r w:rsidDel="00000000" w:rsidR="00000000" w:rsidRPr="00000000">
              <w:rPr>
                <w:sz w:val="16"/>
                <w:szCs w:val="16"/>
                <w:rtl w:val="0"/>
              </w:rPr>
              <w:t xml:space="preserve">TBC</w:t>
            </w: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b w:val="1"/>
                <w:color w:val="000000"/>
                <w:sz w:val="16"/>
                <w:szCs w:val="16"/>
                <w:rtl w:val="0"/>
              </w:rPr>
              <w:t xml:space="preserve">Start Date:</w:t>
            </w:r>
            <w:r w:rsidDel="00000000" w:rsidR="00000000" w:rsidRPr="00000000">
              <w:rPr>
                <w:color w:val="000000"/>
                <w:sz w:val="16"/>
                <w:szCs w:val="16"/>
                <w:rtl w:val="0"/>
              </w:rPr>
              <w:t xml:space="preserve">  </w:t>
            </w:r>
            <w:r w:rsidDel="00000000" w:rsidR="00000000" w:rsidRPr="00000000">
              <w:rPr>
                <w:sz w:val="16"/>
                <w:szCs w:val="16"/>
                <w:rtl w:val="0"/>
              </w:rPr>
              <w:t xml:space="preserve">ASAP</w:t>
            </w:r>
            <w:r w:rsidDel="00000000" w:rsidR="00000000" w:rsidRPr="00000000">
              <w:rPr>
                <w:rtl w:val="0"/>
              </w:rPr>
            </w:r>
          </w:p>
        </w:tc>
      </w:tr>
      <w:tr>
        <w:trPr>
          <w:cantSplit w:val="0"/>
          <w:trHeight w:val="113" w:hRule="atLeast"/>
          <w:tblHeader w:val="0"/>
        </w:trPr>
        <w:tc>
          <w:tcPr>
            <w:shd w:fill="auto" w:val="clear"/>
          </w:tcPr>
          <w:p w:rsidR="00000000" w:rsidDel="00000000" w:rsidP="00000000" w:rsidRDefault="00000000" w:rsidRPr="00000000" w14:paraId="00000035">
            <w:pPr>
              <w:jc w:val="both"/>
              <w:rPr>
                <w:sz w:val="20"/>
                <w:szCs w:val="20"/>
              </w:rPr>
            </w:pPr>
            <w:r w:rsidDel="00000000" w:rsidR="00000000" w:rsidRPr="00000000">
              <w:rPr>
                <w:rtl w:val="0"/>
              </w:rPr>
            </w:r>
          </w:p>
        </w:tc>
        <w:tc>
          <w:tcPr>
            <w:shd w:fill="auto" w:val="clear"/>
          </w:tcPr>
          <w:p w:rsidR="00000000" w:rsidDel="00000000" w:rsidP="00000000" w:rsidRDefault="00000000" w:rsidRPr="00000000" w14:paraId="00000036">
            <w:pPr>
              <w:rPr>
                <w:sz w:val="28"/>
                <w:szCs w:val="28"/>
              </w:rPr>
            </w:pPr>
            <w:r w:rsidDel="00000000" w:rsidR="00000000" w:rsidRPr="00000000">
              <w:rPr>
                <w:rtl w:val="0"/>
              </w:rPr>
            </w:r>
          </w:p>
        </w:tc>
        <w:tc>
          <w:tcPr>
            <w:shd w:fill="auto" w:val="clear"/>
          </w:tcPr>
          <w:p w:rsidR="00000000" w:rsidDel="00000000" w:rsidP="00000000" w:rsidRDefault="00000000" w:rsidRPr="00000000" w14:paraId="00000037">
            <w:pPr>
              <w:jc w:val="center"/>
              <w:rPr>
                <w:b w:val="1"/>
                <w:sz w:val="20"/>
                <w:szCs w:val="20"/>
              </w:rPr>
            </w:pPr>
            <w:r w:rsidDel="00000000" w:rsidR="00000000" w:rsidRPr="00000000">
              <w:rPr>
                <w:rtl w:val="0"/>
              </w:rPr>
            </w:r>
          </w:p>
        </w:tc>
      </w:tr>
      <w:tr>
        <w:trPr>
          <w:cantSplit w:val="0"/>
          <w:tblHeader w:val="0"/>
        </w:trPr>
        <w:tc>
          <w:tcPr>
            <w:gridSpan w:val="3"/>
            <w:shd w:fill="e0f0fa" w:val="cle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sz w:val="20"/>
                <w:szCs w:val="20"/>
              </w:rPr>
            </w:pPr>
            <w:r w:rsidDel="00000000" w:rsidR="00000000" w:rsidRPr="00000000">
              <w:rPr>
                <w:color w:val="000000"/>
                <w:sz w:val="14"/>
                <w:szCs w:val="14"/>
                <w:rtl w:val="0"/>
              </w:rPr>
              <w:t xml:space="preserve">Co-op Academies Trust 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w:t>
            </w:r>
            <w:r w:rsidDel="00000000" w:rsidR="00000000" w:rsidRPr="00000000">
              <w:rPr>
                <w:rtl w:val="0"/>
              </w:rPr>
            </w:r>
          </w:p>
        </w:tc>
      </w:tr>
    </w:tbl>
    <w:p w:rsidR="00000000" w:rsidDel="00000000" w:rsidP="00000000" w:rsidRDefault="00000000" w:rsidRPr="00000000" w14:paraId="0000003B">
      <w:pPr>
        <w:rPr>
          <w:sz w:val="20"/>
          <w:szCs w:val="20"/>
        </w:rPr>
      </w:pPr>
      <w:r w:rsidDel="00000000" w:rsidR="00000000" w:rsidRPr="00000000">
        <w:rPr>
          <w:rtl w:val="0"/>
        </w:rPr>
      </w:r>
    </w:p>
    <w:sectPr>
      <w:pgSz w:h="16838" w:w="11906" w:orient="portrait"/>
      <w:pgMar w:bottom="567"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D233B"/>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NoSpacing">
    <w:name w:val="No Spacing"/>
    <w:uiPriority w:val="1"/>
    <w:qFormat w:val="1"/>
    <w:rsid w:val="00B35CAA"/>
    <w:pPr>
      <w:widowControl w:val="0"/>
    </w:pPr>
    <w:rPr>
      <w:rFonts w:asciiTheme="minorHAnsi" w:cstheme="minorBidi" w:eastAsiaTheme="minorHAnsi" w:hAnsiTheme="minorHAnsi"/>
      <w:sz w:val="22"/>
      <w:szCs w:val="22"/>
      <w:lang w:val="en-US"/>
    </w:rPr>
  </w:style>
  <w:style w:type="table" w:styleId="TableGrid">
    <w:name w:val="Table Grid"/>
    <w:basedOn w:val="TableNormal"/>
    <w:uiPriority w:val="39"/>
    <w:rsid w:val="00261E1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2D7FCE"/>
    <w:rPr>
      <w:b w:val="1"/>
      <w:bCs w:val="1"/>
    </w:rPr>
  </w:style>
  <w:style w:type="paragraph" w:styleId="NormalWeb">
    <w:name w:val="Normal (Web)"/>
    <w:basedOn w:val="Normal"/>
    <w:uiPriority w:val="99"/>
    <w:semiHidden w:val="1"/>
    <w:unhideWhenUsed w:val="1"/>
    <w:rsid w:val="002D7FCE"/>
    <w:pPr>
      <w:spacing w:after="100" w:afterAutospacing="1" w:before="100" w:beforeAutospacing="1"/>
    </w:pPr>
    <w:rPr>
      <w:rFonts w:ascii="Times New Roman" w:hAnsi="Times New Roman"/>
    </w:rPr>
  </w:style>
  <w:style w:type="paragraph" w:styleId="tile-text" w:customStyle="1">
    <w:name w:val="tile-text"/>
    <w:basedOn w:val="Normal"/>
    <w:rsid w:val="000B5CBC"/>
    <w:pPr>
      <w:spacing w:after="100" w:afterAutospacing="1" w:before="100" w:beforeAutospacing="1"/>
    </w:pPr>
    <w:rPr>
      <w:rFonts w:ascii="Times New Roman" w:hAnsi="Times New Roman"/>
    </w:rPr>
  </w:style>
  <w:style w:type="character" w:styleId="Hyperlink">
    <w:name w:val="Hyperlink"/>
    <w:basedOn w:val="DefaultParagraphFont"/>
    <w:uiPriority w:val="99"/>
    <w:unhideWhenUsed w:val="1"/>
    <w:rsid w:val="00282CD4"/>
    <w:rPr>
      <w:color w:val="0563c1" w:themeColor="hyperlink"/>
      <w:u w:val="single"/>
    </w:rPr>
  </w:style>
  <w:style w:type="character" w:styleId="UnresolvedMention" w:customStyle="1">
    <w:name w:val="Unresolved Mention"/>
    <w:basedOn w:val="DefaultParagraphFont"/>
    <w:uiPriority w:val="99"/>
    <w:semiHidden w:val="1"/>
    <w:unhideWhenUsed w:val="1"/>
    <w:rsid w:val="00282CD4"/>
    <w:rPr>
      <w:color w:val="605e5c"/>
      <w:shd w:color="auto" w:fill="e1dfdd" w:val="clear"/>
    </w:rPr>
  </w:style>
  <w:style w:type="character" w:styleId="FollowedHyperlink">
    <w:name w:val="FollowedHyperlink"/>
    <w:basedOn w:val="DefaultParagraphFont"/>
    <w:uiPriority w:val="99"/>
    <w:semiHidden w:val="1"/>
    <w:unhideWhenUsed w:val="1"/>
    <w:rsid w:val="00B10A68"/>
    <w:rPr>
      <w:color w:val="954f72" w:themeColor="followedHyperlink"/>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TableParagraph" w:customStyle="1">
    <w:name w:val="Table Paragraph"/>
    <w:basedOn w:val="Normal"/>
    <w:uiPriority w:val="1"/>
    <w:qFormat w:val="1"/>
    <w:rsid w:val="003F69C1"/>
    <w:pPr>
      <w:widowControl w:val="0"/>
      <w:autoSpaceDE w:val="0"/>
      <w:autoSpaceDN w:val="0"/>
    </w:pPr>
    <w:rPr>
      <w:sz w:val="22"/>
      <w:szCs w:val="22"/>
      <w:lang w:eastAsia="en-US"/>
    </w:rPr>
  </w:style>
  <w:style w:type="paragraph" w:styleId="BalloonText">
    <w:name w:val="Balloon Text"/>
    <w:basedOn w:val="Normal"/>
    <w:link w:val="BalloonTextChar"/>
    <w:uiPriority w:val="99"/>
    <w:semiHidden w:val="1"/>
    <w:unhideWhenUsed w:val="1"/>
    <w:rsid w:val="00C57B6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57B6F"/>
    <w:rPr>
      <w:rFonts w:ascii="Segoe UI" w:cs="Segoe UI" w:hAnsi="Segoe UI"/>
      <w:sz w:val="18"/>
      <w:szCs w:val="18"/>
    </w:rPr>
  </w:style>
  <w:style w:type="table" w:styleId="a1"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ightingale.coopacademies.co.uk/vacanci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xKTQBa8qBSJhTJbuSoXhsiKaPA==">CgMxLjAyCWguMWZvYjl0ZTIIaC5namRneHMyCWguMzBqMHpsbDgAciExZDVGdWtsX3U3OUVzMkUxWXVUVnBrYmk2Ty1zazdkZ0c=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2023-09-18T09:08:00Z</dcterms:created>
  <dc:creator>Mr Dyson</dc:creator>
</cp:coreProperties>
</file>