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00"/>
        </w:tabs>
        <w:spacing w:line="240" w:lineRule="auto"/>
        <w:ind w:left="-360" w:firstLine="0"/>
        <w:rPr>
          <w:rFonts w:ascii="Avenir" w:cs="Avenir" w:eastAsia="Avenir" w:hAnsi="Avenir"/>
          <w:sz w:val="48"/>
          <w:szCs w:val="48"/>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sz w:val="32"/>
          <w:szCs w:val="32"/>
        </w:rPr>
      </w:pPr>
      <w:r w:rsidDel="00000000" w:rsidR="00000000" w:rsidRPr="00000000">
        <w:rPr>
          <w:rFonts w:ascii="Avenir" w:cs="Avenir" w:eastAsia="Avenir" w:hAnsi="Avenir"/>
          <w:color w:val="00a1cf"/>
          <w:sz w:val="48"/>
          <w:szCs w:val="48"/>
          <w:rtl w:val="0"/>
        </w:rPr>
        <w:t xml:space="preserve">Teacher - Key Stage 1</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sz w:val="40"/>
          <w:szCs w:val="40"/>
        </w:rPr>
      </w:pPr>
      <w:r w:rsidDel="00000000" w:rsidR="00000000" w:rsidRPr="00000000">
        <w:rPr>
          <w:rtl w:val="0"/>
        </w:rPr>
      </w:r>
    </w:p>
    <w:tbl>
      <w:tblPr>
        <w:tblStyle w:val="Table1"/>
        <w:tblW w:w="98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Full time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MPS/UPS</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Co-op Academy Oakwood</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222222"/>
                <w:highlight w:val="white"/>
              </w:rPr>
            </w:pPr>
            <w:r w:rsidDel="00000000" w:rsidR="00000000" w:rsidRPr="00000000">
              <w:rPr>
                <w:rFonts w:ascii="Avenir" w:cs="Avenir" w:eastAsia="Avenir" w:hAnsi="Avenir"/>
                <w:color w:val="222222"/>
                <w:highlight w:val="white"/>
                <w:rtl w:val="0"/>
              </w:rPr>
              <w:t xml:space="preserve">Executive Headteacher: Miss Rimah Aasim</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222222"/>
                <w:highlight w:val="white"/>
              </w:rPr>
            </w:pPr>
            <w:r w:rsidDel="00000000" w:rsidR="00000000" w:rsidRPr="00000000">
              <w:rPr>
                <w:rFonts w:ascii="Avenir" w:cs="Avenir" w:eastAsia="Avenir" w:hAnsi="Avenir"/>
                <w:color w:val="222222"/>
                <w:highlight w:val="white"/>
                <w:rtl w:val="0"/>
              </w:rPr>
              <w:t xml:space="preserve">Head of School: Miss Louise Walsh</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tc>
      </w:tr>
    </w:tbl>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2"/>
        <w:tblW w:w="9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bookmarkStart w:colFirst="0" w:colLast="0" w:name="_heading=h.gjdgxs" w:id="0"/>
            <w:bookmarkEnd w:id="0"/>
            <w:r w:rsidDel="00000000" w:rsidR="00000000" w:rsidRPr="00000000">
              <w:rPr>
                <w:rFonts w:ascii="Avenir" w:cs="Avenir" w:eastAsia="Avenir" w:hAnsi="Avenir"/>
                <w:color w:val="00a1cf"/>
                <w:sz w:val="28"/>
                <w:szCs w:val="28"/>
                <w:rtl w:val="0"/>
              </w:rPr>
              <w:t xml:space="preserve">Purpose of role:</w:t>
            </w:r>
            <w:r w:rsidDel="00000000" w:rsidR="00000000" w:rsidRPr="00000000">
              <w:rPr>
                <w:rFonts w:ascii="Avenir" w:cs="Avenir" w:eastAsia="Avenir" w:hAnsi="Avenir"/>
                <w:rtl w:val="0"/>
              </w:rPr>
              <w:t xml:space="preserve">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bookmarkStart w:colFirst="0" w:colLast="0" w:name="_heading=h.le1xwqr32ftb" w:id="1"/>
            <w:bookmarkEnd w:id="1"/>
            <w:r w:rsidDel="00000000" w:rsidR="00000000" w:rsidRPr="00000000">
              <w:rPr>
                <w:rFonts w:ascii="Avenir" w:cs="Avenir" w:eastAsia="Avenir" w:hAnsi="Avenir"/>
                <w:rtl w:val="0"/>
              </w:rPr>
              <w:t xml:space="preserve">An exciting opportunity has arisen at Co-op Academy Oakwood for a professional and inspirational Teacher to join a talented and committed staff team on a permanent basis.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bookmarkStart w:colFirst="0" w:colLast="0" w:name="_heading=h.llsiihlmqj5e" w:id="2"/>
            <w:bookmarkEnd w:id="2"/>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bookmarkStart w:colFirst="0" w:colLast="0" w:name="_heading=h.wbc1w49vl860" w:id="3"/>
            <w:bookmarkEnd w:id="3"/>
            <w:r w:rsidDel="00000000" w:rsidR="00000000" w:rsidRPr="00000000">
              <w:rPr>
                <w:rtl w:val="0"/>
              </w:rPr>
            </w:r>
          </w:p>
          <w:p w:rsidR="00000000" w:rsidDel="00000000" w:rsidP="00000000" w:rsidRDefault="00000000" w:rsidRPr="00000000" w14:paraId="00000012">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To be a class teacher within the academy</w:t>
            </w:r>
          </w:p>
          <w:p w:rsidR="00000000" w:rsidDel="00000000" w:rsidP="00000000" w:rsidRDefault="00000000" w:rsidRPr="00000000" w14:paraId="00000013">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To implement the visions, aims and ethos of the academy at all times </w:t>
            </w:r>
          </w:p>
          <w:p w:rsidR="00000000" w:rsidDel="00000000" w:rsidP="00000000" w:rsidRDefault="00000000" w:rsidRPr="00000000" w14:paraId="00000014">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To have due regard to the requirements of the National Curriculum,  LEA and academy policies</w:t>
            </w:r>
          </w:p>
          <w:p w:rsidR="00000000" w:rsidDel="00000000" w:rsidP="00000000" w:rsidRDefault="00000000" w:rsidRPr="00000000" w14:paraId="00000015">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To follow safeguarding policies and procedures in the academy </w:t>
            </w:r>
          </w:p>
          <w:p w:rsidR="00000000" w:rsidDel="00000000" w:rsidP="00000000" w:rsidRDefault="00000000" w:rsidRPr="00000000" w14:paraId="00000016">
            <w:pPr>
              <w:widowControl w:val="0"/>
              <w:spacing w:line="24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7">
            <w:pPr>
              <w:widowControl w:val="0"/>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Link to our Child protection and safeguarding policy </w:t>
            </w:r>
          </w:p>
          <w:p w:rsidR="00000000" w:rsidDel="00000000" w:rsidP="00000000" w:rsidRDefault="00000000" w:rsidRPr="00000000" w14:paraId="00000018">
            <w:pPr>
              <w:pBdr>
                <w:top w:color="000000" w:space="0" w:sz="0" w:val="none"/>
                <w:left w:color="000000" w:space="1" w:sz="0" w:val="none"/>
                <w:bottom w:color="000000" w:space="0" w:sz="0" w:val="none"/>
                <w:right w:color="000000" w:space="0" w:sz="0" w:val="none"/>
                <w:between w:color="000000" w:space="0" w:sz="0" w:val="none"/>
              </w:pBdr>
              <w:spacing w:line="240" w:lineRule="auto"/>
              <w:rPr>
                <w:rFonts w:ascii="Avenir" w:cs="Avenir" w:eastAsia="Avenir" w:hAnsi="Avenir"/>
              </w:rPr>
            </w:pPr>
            <w:hyperlink r:id="rId7">
              <w:r w:rsidDel="00000000" w:rsidR="00000000" w:rsidRPr="00000000">
                <w:rPr>
                  <w:rFonts w:ascii="Avenir" w:cs="Avenir" w:eastAsia="Avenir" w:hAnsi="Avenir"/>
                  <w:color w:val="1155cc"/>
                  <w:sz w:val="20"/>
                  <w:szCs w:val="20"/>
                  <w:u w:val="single"/>
                  <w:rtl w:val="0"/>
                </w:rPr>
                <w:t xml:space="preserve">Safeguarding policy</w:t>
              </w:r>
            </w:hyperlink>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bookmarkStart w:colFirst="0" w:colLast="0" w:name="_heading=h.p5ipot678kt7" w:id="4"/>
            <w:bookmarkEnd w:id="4"/>
            <w:r w:rsidDel="00000000" w:rsidR="00000000" w:rsidRPr="00000000">
              <w:rPr>
                <w:rtl w:val="0"/>
              </w:rPr>
            </w:r>
          </w:p>
        </w:tc>
      </w:tr>
    </w:tbl>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3"/>
        <w:tblW w:w="9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Key accountabilities</w:t>
            </w:r>
            <w:r w:rsidDel="00000000" w:rsidR="00000000" w:rsidRPr="00000000">
              <w:rPr>
                <w:rFonts w:ascii="Avenir" w:cs="Avenir" w:eastAsia="Avenir" w:hAnsi="Avenir"/>
                <w:color w:val="00a1cf"/>
                <w:rtl w:val="0"/>
              </w:rPr>
              <w:t xml:space="preserve"> (and specific duties / responsibilities):</w:t>
            </w:r>
          </w:p>
          <w:p w:rsidR="00000000" w:rsidDel="00000000" w:rsidP="00000000" w:rsidRDefault="00000000" w:rsidRPr="00000000" w14:paraId="0000001C">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be an effective classroom teacher</w:t>
            </w:r>
          </w:p>
          <w:p w:rsidR="00000000" w:rsidDel="00000000" w:rsidP="00000000" w:rsidRDefault="00000000" w:rsidRPr="00000000" w14:paraId="0000001D">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fulfil the professional responsibilities of a teacher as set out in School Teachers’ Pay and Conditions document and meet the expectations set out in the Teacher Standard</w:t>
            </w:r>
          </w:p>
          <w:p w:rsidR="00000000" w:rsidDel="00000000" w:rsidP="00000000" w:rsidRDefault="00000000" w:rsidRPr="00000000" w14:paraId="0000001E">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work within the stated philosophy and policies of the academy</w:t>
            </w:r>
          </w:p>
          <w:p w:rsidR="00000000" w:rsidDel="00000000" w:rsidP="00000000" w:rsidRDefault="00000000" w:rsidRPr="00000000" w14:paraId="0000001F">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provide a rich and varied curriculum</w:t>
            </w:r>
          </w:p>
          <w:p w:rsidR="00000000" w:rsidDel="00000000" w:rsidP="00000000" w:rsidRDefault="00000000" w:rsidRPr="00000000" w14:paraId="00000020">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be responsible to the Executive Head and Head of School through the academy management structure</w:t>
            </w:r>
          </w:p>
          <w:p w:rsidR="00000000" w:rsidDel="00000000" w:rsidP="00000000" w:rsidRDefault="00000000" w:rsidRPr="00000000" w14:paraId="00000021">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carry out effective monitoring of pupil achievement, across the curriculum, and to maintain records</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To maintain a good educational ethos, including the evaluation, control, display, use and storage of teaching materials/resources/books/finances relating to class/curriculum/Key Stage responsibilities.</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To be willing to work in a co-operative and collaborative manner, including teaching in teams.</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To be responsible for general administrative </w:t>
            </w:r>
            <w:r w:rsidDel="00000000" w:rsidR="00000000" w:rsidRPr="00000000">
              <w:rPr>
                <w:rFonts w:ascii="Avenir" w:cs="Avenir" w:eastAsia="Avenir" w:hAnsi="Avenir"/>
                <w:rtl w:val="0"/>
              </w:rPr>
              <w:t xml:space="preserve">teacher</w:t>
            </w:r>
            <w:r w:rsidDel="00000000" w:rsidR="00000000" w:rsidRPr="00000000">
              <w:rPr>
                <w:rFonts w:ascii="Avenir" w:cs="Avenir" w:eastAsia="Avenir" w:hAnsi="Avenir"/>
                <w:color w:val="000000"/>
                <w:rtl w:val="0"/>
              </w:rPr>
              <w:t xml:space="preserve"> duties and organise the learning environment and resources to make provision for high quality learning experiences in line with </w:t>
            </w:r>
            <w:r w:rsidDel="00000000" w:rsidR="00000000" w:rsidRPr="00000000">
              <w:rPr>
                <w:rFonts w:ascii="Avenir" w:cs="Avenir" w:eastAsia="Avenir" w:hAnsi="Avenir"/>
                <w:rtl w:val="0"/>
              </w:rPr>
              <w:t xml:space="preserve">academy</w:t>
            </w:r>
            <w:r w:rsidDel="00000000" w:rsidR="00000000" w:rsidRPr="00000000">
              <w:rPr>
                <w:rFonts w:ascii="Avenir" w:cs="Avenir" w:eastAsia="Avenir" w:hAnsi="Avenir"/>
                <w:color w:val="000000"/>
                <w:rtl w:val="0"/>
              </w:rPr>
              <w:t xml:space="preserve"> policy.</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support teaching and learning across the academy when and where needed. </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To share responsibility for the learning and physical environment of the </w:t>
            </w:r>
            <w:r w:rsidDel="00000000" w:rsidR="00000000" w:rsidRPr="00000000">
              <w:rPr>
                <w:rFonts w:ascii="Avenir" w:cs="Avenir" w:eastAsia="Avenir" w:hAnsi="Avenir"/>
                <w:rtl w:val="0"/>
              </w:rPr>
              <w:t xml:space="preserve">academy </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To ensure the health and safety of children and staff is maintained during all activities, both inside and outside.</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To supervise the work of support staff as required (including </w:t>
            </w:r>
            <w:r w:rsidDel="00000000" w:rsidR="00000000" w:rsidRPr="00000000">
              <w:rPr>
                <w:rFonts w:ascii="Avenir" w:cs="Avenir" w:eastAsia="Avenir" w:hAnsi="Avenir"/>
                <w:rtl w:val="0"/>
              </w:rPr>
              <w:t xml:space="preserve">volunteers)</w:t>
            </w:r>
            <w:r w:rsidDel="00000000" w:rsidR="00000000" w:rsidRPr="00000000">
              <w:rPr>
                <w:rFonts w:ascii="Avenir" w:cs="Avenir" w:eastAsia="Avenir" w:hAnsi="Avenir"/>
                <w:color w:val="000000"/>
                <w:rtl w:val="0"/>
              </w:rPr>
              <w:t xml:space="preserve">.</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To participate fully in the Performance Management process as a job holder.</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To participate fully in the pastoral responsibilities of the </w:t>
            </w:r>
            <w:r w:rsidDel="00000000" w:rsidR="00000000" w:rsidRPr="00000000">
              <w:rPr>
                <w:rFonts w:ascii="Avenir" w:cs="Avenir" w:eastAsia="Avenir" w:hAnsi="Avenir"/>
                <w:rtl w:val="0"/>
              </w:rPr>
              <w:t xml:space="preserve">academy</w:t>
            </w:r>
            <w:r w:rsidDel="00000000" w:rsidR="00000000" w:rsidRPr="00000000">
              <w:rPr>
                <w:rFonts w:ascii="Avenir" w:cs="Avenir" w:eastAsia="Avenir" w:hAnsi="Avenir"/>
                <w:color w:val="000000"/>
                <w:rtl w:val="0"/>
              </w:rPr>
              <w:t xml:space="preserve"> and employ positive behaviour strategies in line with </w:t>
            </w:r>
            <w:r w:rsidDel="00000000" w:rsidR="00000000" w:rsidRPr="00000000">
              <w:rPr>
                <w:rFonts w:ascii="Avenir" w:cs="Avenir" w:eastAsia="Avenir" w:hAnsi="Avenir"/>
                <w:rtl w:val="0"/>
              </w:rPr>
              <w:t xml:space="preserve">academy </w:t>
            </w:r>
            <w:r w:rsidDel="00000000" w:rsidR="00000000" w:rsidRPr="00000000">
              <w:rPr>
                <w:rFonts w:ascii="Avenir" w:cs="Avenir" w:eastAsia="Avenir" w:hAnsi="Avenir"/>
                <w:color w:val="000000"/>
                <w:rtl w:val="0"/>
              </w:rPr>
              <w:t xml:space="preserve">policy.</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To work in close liaison with </w:t>
            </w:r>
            <w:r w:rsidDel="00000000" w:rsidR="00000000" w:rsidRPr="00000000">
              <w:rPr>
                <w:rFonts w:ascii="Avenir" w:cs="Avenir" w:eastAsia="Avenir" w:hAnsi="Avenir"/>
                <w:rtl w:val="0"/>
              </w:rPr>
              <w:t xml:space="preserve">families</w:t>
            </w:r>
            <w:r w:rsidDel="00000000" w:rsidR="00000000" w:rsidRPr="00000000">
              <w:rPr>
                <w:rFonts w:ascii="Avenir" w:cs="Avenir" w:eastAsia="Avenir" w:hAnsi="Avenir"/>
                <w:color w:val="000000"/>
                <w:rtl w:val="0"/>
              </w:rPr>
              <w:t xml:space="preserve">, giving written and verbal information and explanations and involving them in their child’s learning.</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To share knowledge gained with other practitioners and other professionals.</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To continue with their own professional development and to participate fully in all </w:t>
            </w:r>
            <w:r w:rsidDel="00000000" w:rsidR="00000000" w:rsidRPr="00000000">
              <w:rPr>
                <w:rFonts w:ascii="Avenir" w:cs="Avenir" w:eastAsia="Avenir" w:hAnsi="Avenir"/>
                <w:rtl w:val="0"/>
              </w:rPr>
              <w:t xml:space="preserve">academy </w:t>
            </w:r>
            <w:r w:rsidDel="00000000" w:rsidR="00000000" w:rsidRPr="00000000">
              <w:rPr>
                <w:rFonts w:ascii="Avenir" w:cs="Avenir" w:eastAsia="Avenir" w:hAnsi="Avenir"/>
                <w:color w:val="000000"/>
                <w:rtl w:val="0"/>
              </w:rPr>
              <w:t xml:space="preserve">meetings and INSET.</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Keep up to date with changes in the curriculum and developments in best practice</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To take part in </w:t>
            </w:r>
            <w:r w:rsidDel="00000000" w:rsidR="00000000" w:rsidRPr="00000000">
              <w:rPr>
                <w:rFonts w:ascii="Avenir" w:cs="Avenir" w:eastAsia="Avenir" w:hAnsi="Avenir"/>
                <w:rtl w:val="0"/>
              </w:rPr>
              <w:t xml:space="preserve">extracurricular</w:t>
            </w:r>
            <w:r w:rsidDel="00000000" w:rsidR="00000000" w:rsidRPr="00000000">
              <w:rPr>
                <w:rFonts w:ascii="Avenir" w:cs="Avenir" w:eastAsia="Avenir" w:hAnsi="Avenir"/>
                <w:color w:val="000000"/>
                <w:rtl w:val="0"/>
              </w:rPr>
              <w:t xml:space="preserve"> activities that seek to encourage greater parental and community involvement in the life of the </w:t>
            </w:r>
            <w:r w:rsidDel="00000000" w:rsidR="00000000" w:rsidRPr="00000000">
              <w:rPr>
                <w:rFonts w:ascii="Avenir" w:cs="Avenir" w:eastAsia="Avenir" w:hAnsi="Avenir"/>
                <w:rtl w:val="0"/>
              </w:rPr>
              <w:t xml:space="preserve">academy</w:t>
            </w:r>
            <w:r w:rsidDel="00000000" w:rsidR="00000000" w:rsidRPr="00000000">
              <w:rPr>
                <w:rFonts w:ascii="Avenir" w:cs="Avenir" w:eastAsia="Avenir" w:hAnsi="Avenir"/>
                <w:color w:val="000000"/>
                <w:rtl w:val="0"/>
              </w:rPr>
              <w:t xml:space="preserve">.</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line="240" w:lineRule="auto"/>
              <w:ind w:left="720" w:hanging="360"/>
              <w:rPr>
                <w:rFonts w:ascii="Avenir" w:cs="Avenir" w:eastAsia="Avenir" w:hAnsi="Avenir"/>
                <w:color w:val="000000"/>
              </w:rPr>
            </w:pPr>
            <w:r w:rsidDel="00000000" w:rsidR="00000000" w:rsidRPr="00000000">
              <w:rPr>
                <w:rFonts w:ascii="Avenir" w:cs="Avenir" w:eastAsia="Avenir" w:hAnsi="Avenir"/>
                <w:color w:val="000000"/>
                <w:rtl w:val="0"/>
              </w:rPr>
              <w:t xml:space="preserve">To contribute to the organisation of educational visits/visitors, as necessary</w:t>
            </w:r>
          </w:p>
          <w:p w:rsidR="00000000" w:rsidDel="00000000" w:rsidP="00000000" w:rsidRDefault="00000000" w:rsidRPr="00000000" w14:paraId="00000031">
            <w:pPr>
              <w:widowControl w:val="0"/>
              <w:spacing w:line="240" w:lineRule="auto"/>
              <w:rPr>
                <w:rFonts w:ascii="Avenir" w:cs="Avenir" w:eastAsia="Avenir" w:hAnsi="Avenir"/>
              </w:rPr>
            </w:pPr>
            <w:r w:rsidDel="00000000" w:rsidR="00000000" w:rsidRPr="00000000">
              <w:rPr>
                <w:rtl w:val="0"/>
              </w:rPr>
            </w:r>
          </w:p>
        </w:tc>
      </w:tr>
    </w:tbl>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33">
      <w:pPr>
        <w:shd w:fill="ffffff" w:val="clear"/>
        <w:spacing w:line="240" w:lineRule="auto"/>
        <w:rPr>
          <w:rFonts w:ascii="Avenir" w:cs="Avenir" w:eastAsia="Avenir" w:hAnsi="Avenir"/>
          <w:color w:val="00a1cf"/>
        </w:rPr>
      </w:pPr>
      <w:r w:rsidDel="00000000" w:rsidR="00000000" w:rsidRPr="00000000">
        <w:rPr>
          <w:rtl w:val="0"/>
        </w:rPr>
      </w:r>
    </w:p>
    <w:tbl>
      <w:tblPr>
        <w:tblStyle w:val="Table4"/>
        <w:tblW w:w="9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35"/>
        <w:gridCol w:w="2085"/>
        <w:gridCol w:w="1980"/>
        <w:tblGridChange w:id="0">
          <w:tblGrid>
            <w:gridCol w:w="5835"/>
            <w:gridCol w:w="2085"/>
            <w:gridCol w:w="1980"/>
          </w:tblGrid>
        </w:tblGridChange>
      </w:tblGrid>
      <w:tr>
        <w:trPr>
          <w:cantSplit w:val="0"/>
          <w:trHeight w:val="600" w:hRule="atLeast"/>
          <w:tblHeader w:val="0"/>
        </w:trPr>
        <w:tc>
          <w:tcPr>
            <w:gridSpan w:val="3"/>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Personal attributes required </w:t>
            </w:r>
            <w:r w:rsidDel="00000000" w:rsidR="00000000" w:rsidRPr="00000000">
              <w:rPr>
                <w:rFonts w:ascii="Avenir" w:cs="Avenir" w:eastAsia="Avenir" w:hAnsi="Avenir"/>
                <w:color w:val="00a1cf"/>
                <w:rtl w:val="0"/>
              </w:rPr>
              <w:t xml:space="preserve">(based on job description):</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sz w:val="28"/>
                <w:szCs w:val="28"/>
              </w:rPr>
            </w:pPr>
            <w:r w:rsidDel="00000000" w:rsidR="00000000" w:rsidRPr="00000000">
              <w:rPr>
                <w:rFonts w:ascii="Avenir" w:cs="Avenir" w:eastAsia="Avenir" w:hAnsi="Avenir"/>
                <w:color w:val="00a1cf"/>
                <w:sz w:val="28"/>
                <w:szCs w:val="28"/>
                <w:rtl w:val="0"/>
              </w:rPr>
              <w:t xml:space="preserve">Attributes</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How measured, e.g. application form (A), interview (I)</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Qualifications</w:t>
            </w:r>
          </w:p>
          <w:p w:rsidR="00000000" w:rsidDel="00000000" w:rsidP="00000000" w:rsidRDefault="00000000" w:rsidRPr="00000000" w14:paraId="0000003B">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 degree</w:t>
            </w:r>
          </w:p>
          <w:p w:rsidR="00000000" w:rsidDel="00000000" w:rsidP="00000000" w:rsidRDefault="00000000" w:rsidRPr="00000000" w14:paraId="0000003C">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Qualified Teacher Status</w:t>
            </w:r>
          </w:p>
          <w:p w:rsidR="00000000" w:rsidDel="00000000" w:rsidP="00000000" w:rsidRDefault="00000000" w:rsidRPr="00000000" w14:paraId="0000003D">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Additional professional qualifications</w:t>
            </w:r>
          </w:p>
          <w:p w:rsidR="00000000" w:rsidDel="00000000" w:rsidP="00000000" w:rsidRDefault="00000000" w:rsidRPr="00000000" w14:paraId="0000003E">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Legally entitled to work in the UK (Asylum and Immigration Act 1996)</w:t>
            </w:r>
          </w:p>
          <w:p w:rsidR="00000000" w:rsidDel="00000000" w:rsidP="00000000" w:rsidRDefault="00000000" w:rsidRPr="00000000" w14:paraId="0000003F">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Training in the delivery of the National Curriculum</w:t>
            </w:r>
          </w:p>
          <w:p w:rsidR="00000000" w:rsidDel="00000000" w:rsidP="00000000" w:rsidRDefault="00000000" w:rsidRPr="00000000" w14:paraId="00000040">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Specific training in SEN strategies</w:t>
            </w:r>
          </w:p>
          <w:p w:rsidR="00000000" w:rsidDel="00000000" w:rsidP="00000000" w:rsidRDefault="00000000" w:rsidRPr="00000000" w14:paraId="00000041">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Evidence of commitment to ‘Life-Long Learning’</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I, A</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Experience</w:t>
            </w:r>
          </w:p>
          <w:p w:rsidR="00000000" w:rsidDel="00000000" w:rsidP="00000000" w:rsidRDefault="00000000" w:rsidRPr="00000000" w14:paraId="00000050">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working within the Primary age</w:t>
            </w:r>
          </w:p>
          <w:p w:rsidR="00000000" w:rsidDel="00000000" w:rsidP="00000000" w:rsidRDefault="00000000" w:rsidRPr="00000000" w14:paraId="00000051">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Successful planning, teaching and assessment experience</w:t>
            </w:r>
          </w:p>
          <w:p w:rsidR="00000000" w:rsidDel="00000000" w:rsidP="00000000" w:rsidRDefault="00000000" w:rsidRPr="00000000" w14:paraId="00000052">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supporting pupil transition</w:t>
            </w:r>
          </w:p>
          <w:p w:rsidR="00000000" w:rsidDel="00000000" w:rsidP="00000000" w:rsidRDefault="00000000" w:rsidRPr="00000000" w14:paraId="00000053">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Taking curriculum responsibility and contributing to whole academy development</w:t>
            </w:r>
          </w:p>
          <w:p w:rsidR="00000000" w:rsidDel="00000000" w:rsidP="00000000" w:rsidRDefault="00000000" w:rsidRPr="00000000" w14:paraId="00000054">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working in partnership with families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I, A</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Skills, Ability, Knowledge</w:t>
            </w:r>
          </w:p>
          <w:p w:rsidR="00000000" w:rsidDel="00000000" w:rsidP="00000000" w:rsidRDefault="00000000" w:rsidRPr="00000000" w14:paraId="00000060">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High expectations for children’s learning and behaviour supported by positive strategies</w:t>
            </w:r>
          </w:p>
          <w:p w:rsidR="00000000" w:rsidDel="00000000" w:rsidP="00000000" w:rsidRDefault="00000000" w:rsidRPr="00000000" w14:paraId="00000061">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Understanding of provision to support the delivery of the Primary curriculum</w:t>
            </w:r>
          </w:p>
          <w:p w:rsidR="00000000" w:rsidDel="00000000" w:rsidP="00000000" w:rsidRDefault="00000000" w:rsidRPr="00000000" w14:paraId="00000062">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Ability to organise and manage a positive learning environment</w:t>
            </w:r>
          </w:p>
          <w:p w:rsidR="00000000" w:rsidDel="00000000" w:rsidP="00000000" w:rsidRDefault="00000000" w:rsidRPr="00000000" w14:paraId="00000063">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Ability to direct the work of Teaching Assistants</w:t>
            </w:r>
          </w:p>
          <w:p w:rsidR="00000000" w:rsidDel="00000000" w:rsidP="00000000" w:rsidRDefault="00000000" w:rsidRPr="00000000" w14:paraId="00000064">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Ability to assess pupil ability and progress in order to plan relevant teaching and intervention programmes</w:t>
            </w:r>
          </w:p>
          <w:p w:rsidR="00000000" w:rsidDel="00000000" w:rsidP="00000000" w:rsidRDefault="00000000" w:rsidRPr="00000000" w14:paraId="00000065">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Knowledge and understanding of the SEN Code of Practice</w:t>
            </w:r>
          </w:p>
          <w:p w:rsidR="00000000" w:rsidDel="00000000" w:rsidP="00000000" w:rsidRDefault="00000000" w:rsidRPr="00000000" w14:paraId="00000066">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Skilful written and verbal communication</w:t>
            </w:r>
          </w:p>
          <w:p w:rsidR="00000000" w:rsidDel="00000000" w:rsidP="00000000" w:rsidRDefault="00000000" w:rsidRPr="00000000" w14:paraId="00000067">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Excellent communication and inter-personal skills to support teamwork</w:t>
            </w:r>
          </w:p>
          <w:p w:rsidR="00000000" w:rsidDel="00000000" w:rsidP="00000000" w:rsidRDefault="00000000" w:rsidRPr="00000000" w14:paraId="00000068">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Use of technology to enhance planning, teaching, assessment, recording and presentation</w:t>
            </w:r>
          </w:p>
          <w:p w:rsidR="00000000" w:rsidDel="00000000" w:rsidP="00000000" w:rsidRDefault="00000000" w:rsidRPr="00000000" w14:paraId="00000069">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Strength/expertise in at least one area of the curriculum</w:t>
            </w:r>
          </w:p>
          <w:p w:rsidR="00000000" w:rsidDel="00000000" w:rsidP="00000000" w:rsidRDefault="00000000" w:rsidRPr="00000000" w14:paraId="0000006A">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 knowledge of safeguarding and child protection procedures</w:t>
            </w:r>
          </w:p>
          <w:p w:rsidR="00000000" w:rsidDel="00000000" w:rsidP="00000000" w:rsidRDefault="00000000" w:rsidRPr="00000000" w14:paraId="0000006B">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An acceptance of, and a commitment to, the principles of the academy’s Equal Opportunities policies as they relate to employment issues and to the delivery of services to the community</w:t>
            </w:r>
          </w:p>
          <w:p w:rsidR="00000000" w:rsidDel="00000000" w:rsidP="00000000" w:rsidRDefault="00000000" w:rsidRPr="00000000" w14:paraId="0000006C">
            <w:pPr>
              <w:widowControl w:val="0"/>
              <w:numPr>
                <w:ilvl w:val="0"/>
                <w:numId w:val="2"/>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Knowledge of early reading strategies and RWI </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7">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I, A</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Personal Qualities</w:t>
            </w:r>
          </w:p>
          <w:p w:rsidR="00000000" w:rsidDel="00000000" w:rsidP="00000000" w:rsidRDefault="00000000" w:rsidRPr="00000000" w14:paraId="0000008A">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Full commitment to the aims and ethos of the academy and Co-operative Academies Trust</w:t>
            </w:r>
          </w:p>
          <w:p w:rsidR="00000000" w:rsidDel="00000000" w:rsidP="00000000" w:rsidRDefault="00000000" w:rsidRPr="00000000" w14:paraId="0000008B">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 positive approach to pupils, a welcoming approach to families and a co-operative approach to staff</w:t>
            </w:r>
          </w:p>
          <w:p w:rsidR="00000000" w:rsidDel="00000000" w:rsidP="00000000" w:rsidRDefault="00000000" w:rsidRPr="00000000" w14:paraId="0000008C">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Able to exercise discretion and maintain confidentiality at all times. Take a cheerful professional approach to academy life with a determination to succeed</w:t>
            </w:r>
          </w:p>
          <w:p w:rsidR="00000000" w:rsidDel="00000000" w:rsidP="00000000" w:rsidRDefault="00000000" w:rsidRPr="00000000" w14:paraId="0000008D">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 commitment to providing enrichment experiences for all pupils</w:t>
            </w:r>
          </w:p>
          <w:p w:rsidR="00000000" w:rsidDel="00000000" w:rsidP="00000000" w:rsidRDefault="00000000" w:rsidRPr="00000000" w14:paraId="0000008E">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Ability to inspire confidence in colleagues and contribute to academy development</w:t>
            </w:r>
          </w:p>
          <w:p w:rsidR="00000000" w:rsidDel="00000000" w:rsidP="00000000" w:rsidRDefault="00000000" w:rsidRPr="00000000" w14:paraId="0000008F">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Commitment to the development of community links and networking particularly within the Trust</w:t>
            </w:r>
          </w:p>
          <w:p w:rsidR="00000000" w:rsidDel="00000000" w:rsidP="00000000" w:rsidRDefault="00000000" w:rsidRPr="00000000" w14:paraId="00000090">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Evidence of good health and regular attendance</w:t>
            </w:r>
          </w:p>
          <w:p w:rsidR="00000000" w:rsidDel="00000000" w:rsidP="00000000" w:rsidRDefault="00000000" w:rsidRPr="00000000" w14:paraId="00000091">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Physical, mental and emotional resilience to cope with the demands of the job</w:t>
            </w:r>
          </w:p>
          <w:p w:rsidR="00000000" w:rsidDel="00000000" w:rsidP="00000000" w:rsidRDefault="00000000" w:rsidRPr="00000000" w14:paraId="00000092">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 commitment to participate in extracurricular activities</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I, A</w:t>
            </w:r>
          </w:p>
        </w:tc>
      </w:tr>
    </w:tbl>
    <w:p w:rsidR="00000000" w:rsidDel="00000000" w:rsidP="00000000" w:rsidRDefault="00000000" w:rsidRPr="00000000" w14:paraId="000000A8">
      <w:pPr>
        <w:widowControl w:val="0"/>
        <w:spacing w:line="240" w:lineRule="auto"/>
        <w:ind w:left="-709" w:right="-805" w:firstLine="0"/>
        <w:rPr>
          <w:rFonts w:ascii="Avenir" w:cs="Avenir" w:eastAsia="Avenir" w:hAnsi="Avenir"/>
        </w:rPr>
      </w:pPr>
      <w:bookmarkStart w:colFirst="0" w:colLast="0" w:name="_heading=h.30j0zll" w:id="5"/>
      <w:bookmarkEnd w:id="5"/>
      <w:r w:rsidDel="00000000" w:rsidR="00000000" w:rsidRPr="00000000">
        <w:rPr>
          <w:rtl w:val="0"/>
        </w:rPr>
      </w:r>
    </w:p>
    <w:p w:rsidR="00000000" w:rsidDel="00000000" w:rsidP="00000000" w:rsidRDefault="00000000" w:rsidRPr="00000000" w14:paraId="000000A9">
      <w:pPr>
        <w:widowControl w:val="0"/>
        <w:spacing w:line="240" w:lineRule="auto"/>
        <w:rPr>
          <w:rFonts w:ascii="Avenir" w:cs="Avenir" w:eastAsia="Avenir" w:hAnsi="Avenir"/>
        </w:rPr>
      </w:pPr>
      <w:bookmarkStart w:colFirst="0" w:colLast="0" w:name="_heading=h.1fob9te" w:id="6"/>
      <w:bookmarkEnd w:id="6"/>
      <w:r w:rsidDel="00000000" w:rsidR="00000000" w:rsidRPr="00000000">
        <w:rPr>
          <w:rFonts w:ascii="Avenir" w:cs="Avenir" w:eastAsia="Avenir" w:hAnsi="Avenir"/>
          <w:rtl w:val="0"/>
        </w:rPr>
        <w:t xml:space="preserve">This post is subject to an enhanced DBS check. We will also complete an online check of applicants before any interview.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p>
    <w:p w:rsidR="00000000" w:rsidDel="00000000" w:rsidP="00000000" w:rsidRDefault="00000000" w:rsidRPr="00000000" w14:paraId="000000AA">
      <w:pPr>
        <w:widowControl w:val="0"/>
        <w:spacing w:line="240" w:lineRule="auto"/>
        <w:rPr>
          <w:rFonts w:ascii="Avenir" w:cs="Avenir" w:eastAsia="Avenir" w:hAnsi="Avenir"/>
        </w:rPr>
      </w:pPr>
      <w:bookmarkStart w:colFirst="0" w:colLast="0" w:name="_heading=h.r7o5xylw3q5t" w:id="7"/>
      <w:bookmarkEnd w:id="7"/>
      <w:r w:rsidDel="00000000" w:rsidR="00000000" w:rsidRPr="00000000">
        <w:rPr>
          <w:rtl w:val="0"/>
        </w:rPr>
      </w:r>
    </w:p>
    <w:p w:rsidR="00000000" w:rsidDel="00000000" w:rsidP="00000000" w:rsidRDefault="00000000" w:rsidRPr="00000000" w14:paraId="000000AB">
      <w:pPr>
        <w:widowControl w:val="0"/>
        <w:spacing w:line="240" w:lineRule="auto"/>
        <w:jc w:val="both"/>
        <w:rPr>
          <w:rFonts w:ascii="Avenir" w:cs="Avenir" w:eastAsia="Avenir" w:hAnsi="Avenir"/>
        </w:rPr>
      </w:pPr>
      <w:bookmarkStart w:colFirst="0" w:colLast="0" w:name="_heading=h.ur0ndn7hrbcx" w:id="8"/>
      <w:bookmarkEnd w:id="8"/>
      <w:r w:rsidDel="00000000" w:rsidR="00000000" w:rsidRPr="00000000">
        <w:rPr>
          <w:rFonts w:ascii="Avenir" w:cs="Avenir" w:eastAsia="Avenir" w:hAnsi="Avenir"/>
          <w:color w:val="00a1cc"/>
          <w:rtl w:val="0"/>
        </w:rPr>
        <w:t xml:space="preserve">Co-op Academies Trust </w:t>
      </w:r>
      <w:r w:rsidDel="00000000" w:rsidR="00000000" w:rsidRPr="00000000">
        <w:rPr>
          <w:rFonts w:ascii="Avenir" w:cs="Avenir" w:eastAsia="Avenir" w:hAnsi="Avenir"/>
          <w:rtl w:val="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t>
      </w:r>
    </w:p>
    <w:p w:rsidR="00000000" w:rsidDel="00000000" w:rsidP="00000000" w:rsidRDefault="00000000" w:rsidRPr="00000000" w14:paraId="000000AC">
      <w:pPr>
        <w:widowControl w:val="0"/>
        <w:spacing w:line="240" w:lineRule="auto"/>
        <w:jc w:val="both"/>
        <w:rPr>
          <w:rFonts w:ascii="Avenir" w:cs="Avenir" w:eastAsia="Avenir" w:hAnsi="Avenir"/>
        </w:rPr>
      </w:pPr>
      <w:bookmarkStart w:colFirst="0" w:colLast="0" w:name="_heading=h.47kcijffi2xb" w:id="9"/>
      <w:bookmarkEnd w:id="9"/>
      <w:r w:rsidDel="00000000" w:rsidR="00000000" w:rsidRPr="00000000">
        <w:rPr>
          <w:rtl w:val="0"/>
        </w:rPr>
      </w:r>
    </w:p>
    <w:p w:rsidR="00000000" w:rsidDel="00000000" w:rsidP="00000000" w:rsidRDefault="00000000" w:rsidRPr="00000000" w14:paraId="000000AD">
      <w:pPr>
        <w:widowControl w:val="0"/>
        <w:spacing w:line="240" w:lineRule="auto"/>
        <w:jc w:val="both"/>
        <w:rPr>
          <w:rFonts w:ascii="Avenir" w:cs="Avenir" w:eastAsia="Avenir" w:hAnsi="Avenir"/>
        </w:rPr>
      </w:pPr>
      <w:bookmarkStart w:colFirst="0" w:colLast="0" w:name="_heading=h.719qutynlrtq" w:id="10"/>
      <w:bookmarkEnd w:id="10"/>
      <w:r w:rsidDel="00000000" w:rsidR="00000000" w:rsidRPr="00000000">
        <w:rPr>
          <w:rFonts w:ascii="Avenir" w:cs="Avenir" w:eastAsia="Avenir" w:hAnsi="Avenir"/>
          <w:rtl w:val="0"/>
        </w:rPr>
        <w:t xml:space="preserve">All our colleagues are expected to demonstrate a commitment to co-operative values and principles, and the Ways of Being Co-op.</w:t>
      </w:r>
    </w:p>
    <w:p w:rsidR="00000000" w:rsidDel="00000000" w:rsidP="00000000" w:rsidRDefault="00000000" w:rsidRPr="00000000" w14:paraId="000000AE">
      <w:pPr>
        <w:widowControl w:val="0"/>
        <w:spacing w:line="240" w:lineRule="auto"/>
        <w:jc w:val="both"/>
        <w:rPr>
          <w:rFonts w:ascii="Avenir" w:cs="Avenir" w:eastAsia="Avenir" w:hAnsi="Avenir"/>
        </w:rPr>
      </w:pPr>
      <w:bookmarkStart w:colFirst="0" w:colLast="0" w:name="_heading=h.q0mw9jfqjz2z" w:id="11"/>
      <w:bookmarkEnd w:id="11"/>
      <w:r w:rsidDel="00000000" w:rsidR="00000000" w:rsidRPr="00000000">
        <w:rPr>
          <w:rtl w:val="0"/>
        </w:rPr>
      </w:r>
    </w:p>
    <w:p w:rsidR="00000000" w:rsidDel="00000000" w:rsidP="00000000" w:rsidRDefault="00000000" w:rsidRPr="00000000" w14:paraId="000000AF">
      <w:pPr>
        <w:widowControl w:val="0"/>
        <w:spacing w:line="240" w:lineRule="auto"/>
        <w:jc w:val="both"/>
        <w:rPr>
          <w:rFonts w:ascii="Avenir" w:cs="Avenir" w:eastAsia="Avenir" w:hAnsi="Avenir"/>
        </w:rPr>
      </w:pPr>
      <w:bookmarkStart w:colFirst="0" w:colLast="0" w:name="_heading=h.gg3pnc58171b" w:id="12"/>
      <w:bookmarkEnd w:id="12"/>
      <w:r w:rsidDel="00000000" w:rsidR="00000000" w:rsidRPr="00000000">
        <w:rPr>
          <w:rFonts w:ascii="Avenir" w:cs="Avenir" w:eastAsia="Avenir" w:hAnsi="Avenir"/>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rsidR="00000000" w:rsidDel="00000000" w:rsidP="00000000" w:rsidRDefault="00000000" w:rsidRPr="00000000" w14:paraId="000000B0">
      <w:pPr>
        <w:widowControl w:val="0"/>
        <w:spacing w:line="240" w:lineRule="auto"/>
        <w:rPr>
          <w:rFonts w:ascii="Avenir" w:cs="Avenir" w:eastAsia="Avenir" w:hAnsi="Avenir"/>
        </w:rPr>
      </w:pPr>
      <w:bookmarkStart w:colFirst="0" w:colLast="0" w:name="_heading=h.lodqp320waxk" w:id="13"/>
      <w:bookmarkEnd w:id="13"/>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-828661</wp:posOffset>
          </wp:positionH>
          <wp:positionV relativeFrom="paragraph">
            <wp:posOffset>-66665</wp:posOffset>
          </wp:positionV>
          <wp:extent cx="7835642" cy="1252538"/>
          <wp:effectExtent b="0" l="0" r="0" t="0"/>
          <wp:wrapTopAndBottom distB="114300" distT="114300"/>
          <wp:docPr descr="header background.jpg" id="8" name="image1.jpg"/>
          <a:graphic>
            <a:graphicData uri="http://schemas.openxmlformats.org/drawingml/2006/picture">
              <pic:pic>
                <pic:nvPicPr>
                  <pic:cNvPr descr="header background.jpg" id="0" name="image1.jpg"/>
                  <pic:cNvPicPr preferRelativeResize="0"/>
                </pic:nvPicPr>
                <pic:blipFill>
                  <a:blip r:embed="rId1"/>
                  <a:srcRect b="88694" l="0" r="0" t="0"/>
                  <a:stretch>
                    <a:fillRect/>
                  </a:stretch>
                </pic:blipFill>
                <pic:spPr>
                  <a:xfrm>
                    <a:off x="0" y="0"/>
                    <a:ext cx="7835642" cy="12525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DefaultText" w:customStyle="1">
    <w:name w:val="Default Text"/>
    <w:basedOn w:val="Normal"/>
    <w:rsid w:val="009033BD"/>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US"/>
    </w:r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akwood.coopacademies.co.uk/googledrive/?title=Safeguarding+and+Child+Protection+Policy+2023&amp;pid=0&amp;gdfid=1-fGFa20et8Jj_eOw_racAiOZiZkSwOkYxdQNgqHrFB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GnyoDR//8SM2cZqIUTiZYesVYA==">CgMxLjAyCGguZ2pkZ3hzMg5oLmxlMXh3cXIzMmZ0YjIOaC5sbHNpaWhsbXFqNWUyDmgud2JjMXc0OXZsODYwMg5oLnA1aXBvdDY3OGt0NzIJaC4zMGowemxsMgloLjFmb2I5dGUyDmgucjdvNXh5bHczcTV0Mg5oLnVyMG5kbjdocmJjeDIOaC40N2tjaWpmZmkyeGIyDmguNzE5cXV0eW5scnRxMg5oLnEwbXc5amZxanoyejIOaC5nZzNwbmM1ODE3MWIyDmgubG9kcXAzMjB3YXhrOAByITE5ajllMlNZbjNPRDMzSERseFcydkhWVUhQc19SRWl6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2021-05-20T14:55:00Z</dcterms:created>
  <dc:creator>Hebe Lockyer</dc:creator>
</cp:coreProperties>
</file>