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38"/>
          <w:szCs w:val="38"/>
        </w:rPr>
      </w:pPr>
      <w:r w:rsidDel="00000000" w:rsidR="00000000" w:rsidRPr="00000000">
        <w:rPr>
          <w:color w:val="00a1cf"/>
          <w:sz w:val="48"/>
          <w:szCs w:val="48"/>
          <w:rtl w:val="0"/>
        </w:rPr>
        <w:t xml:space="preserve">Job title: Regional Manager -  Property and Health and Safety </w:t>
        <w:br w:type="textWrapping"/>
      </w:r>
      <w:r w:rsidDel="00000000" w:rsidR="00000000" w:rsidRPr="00000000">
        <w:rPr>
          <w:color w:val="00a1cf"/>
          <w:sz w:val="38"/>
          <w:szCs w:val="38"/>
          <w:rtl w:val="0"/>
        </w:rPr>
        <w:t xml:space="preserve">(secondment)</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26"/>
          <w:szCs w:val="2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38"/>
          <w:szCs w:val="38"/>
        </w:rPr>
      </w:pPr>
      <w:r w:rsidDel="00000000" w:rsidR="00000000" w:rsidRPr="00000000">
        <w:rPr>
          <w:color w:val="00a1cf"/>
          <w:sz w:val="38"/>
          <w:szCs w:val="38"/>
          <w:rtl w:val="0"/>
        </w:rPr>
        <w:t xml:space="preserve">Job Description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8"/>
          <w:szCs w:val="48"/>
        </w:rPr>
      </w:pPr>
      <w:r w:rsidDel="00000000" w:rsidR="00000000" w:rsidRPr="00000000">
        <w:rPr>
          <w:rtl w:val="0"/>
        </w:rPr>
      </w:r>
    </w:p>
    <w:tbl>
      <w:tblPr>
        <w:tblStyle w:val="Table1"/>
        <w:tblW w:w="9540.0" w:type="dxa"/>
        <w:jc w:val="left"/>
        <w:tblInd w:w="-10.0" w:type="dxa"/>
        <w:tblLayout w:type="fixed"/>
        <w:tblLook w:val="0400"/>
      </w:tblPr>
      <w:tblGrid>
        <w:gridCol w:w="2160"/>
        <w:gridCol w:w="7380"/>
        <w:tblGridChange w:id="0">
          <w:tblGrid>
            <w:gridCol w:w="2160"/>
            <w:gridCol w:w="738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5">
            <w:pPr>
              <w:spacing w:line="240" w:lineRule="auto"/>
              <w:rPr>
                <w:rFonts w:ascii="Avenir" w:cs="Avenir" w:eastAsia="Avenir" w:hAnsi="Avenir"/>
              </w:rPr>
            </w:pPr>
            <w:r w:rsidDel="00000000" w:rsidR="00000000" w:rsidRPr="00000000">
              <w:rPr>
                <w:rFonts w:ascii="Avenir" w:cs="Avenir" w:eastAsia="Avenir" w:hAnsi="Avenir"/>
                <w:color w:val="00a1cf"/>
                <w:rtl w:val="0"/>
              </w:rPr>
              <w:t xml:space="preserve">Working pattern</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6">
            <w:pPr>
              <w:spacing w:before="163" w:line="240" w:lineRule="auto"/>
              <w:jc w:val="both"/>
              <w:rPr>
                <w:rFonts w:ascii="Avenir" w:cs="Avenir" w:eastAsia="Avenir" w:hAnsi="Avenir"/>
              </w:rPr>
            </w:pPr>
            <w:r w:rsidDel="00000000" w:rsidR="00000000" w:rsidRPr="00000000">
              <w:rPr>
                <w:rFonts w:ascii="Avenir" w:cs="Avenir" w:eastAsia="Avenir" w:hAnsi="Avenir"/>
                <w:rtl w:val="0"/>
              </w:rPr>
              <w:t xml:space="preserve">Split-role, working 50% centrally, and 50%  locally (in substantive role)</w:t>
            </w:r>
          </w:p>
        </w:tc>
      </w:tr>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jc w:val="both"/>
              <w:rPr>
                <w:rFonts w:ascii="Avenir" w:cs="Avenir" w:eastAsia="Avenir" w:hAnsi="Avenir"/>
              </w:rPr>
            </w:pPr>
            <w:r w:rsidDel="00000000" w:rsidR="00000000" w:rsidRPr="00000000">
              <w:rPr>
                <w:rFonts w:ascii="Avenir" w:cs="Avenir" w:eastAsia="Avenir" w:hAnsi="Avenir"/>
                <w:color w:val="00a1cf"/>
                <w:rtl w:val="0"/>
              </w:rPr>
              <w:t xml:space="preserve">Salary</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jc w:val="both"/>
              <w:rPr>
                <w:rFonts w:ascii="Avenir" w:cs="Avenir" w:eastAsia="Avenir" w:hAnsi="Avenir"/>
              </w:rPr>
            </w:pPr>
            <w:r w:rsidDel="00000000" w:rsidR="00000000" w:rsidRPr="00000000">
              <w:rPr>
                <w:rFonts w:ascii="Avenir" w:cs="Avenir" w:eastAsia="Avenir" w:hAnsi="Avenir"/>
                <w:rtl w:val="0"/>
              </w:rPr>
              <w:t xml:space="preserve">£50k to £55k per annum </w:t>
            </w:r>
          </w:p>
        </w:tc>
      </w:tr>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jc w:val="both"/>
              <w:rPr>
                <w:rFonts w:ascii="Avenir" w:cs="Avenir" w:eastAsia="Avenir" w:hAnsi="Avenir"/>
              </w:rPr>
            </w:pPr>
            <w:r w:rsidDel="00000000" w:rsidR="00000000" w:rsidRPr="00000000">
              <w:rPr>
                <w:rFonts w:ascii="Avenir" w:cs="Avenir" w:eastAsia="Avenir" w:hAnsi="Avenir"/>
                <w:color w:val="00a1cf"/>
                <w:rtl w:val="0"/>
              </w:rPr>
              <w:t xml:space="preserve">Location</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jc w:val="both"/>
              <w:rPr>
                <w:rFonts w:ascii="Avenir" w:cs="Avenir" w:eastAsia="Avenir" w:hAnsi="Avenir"/>
              </w:rPr>
            </w:pPr>
            <w:r w:rsidDel="00000000" w:rsidR="00000000" w:rsidRPr="00000000">
              <w:rPr>
                <w:rFonts w:ascii="Avenir" w:cs="Avenir" w:eastAsia="Avenir" w:hAnsi="Avenir"/>
                <w:rtl w:val="0"/>
              </w:rPr>
              <w:t xml:space="preserve">Central Trust Team, Head Office, 1 Angel Square</w:t>
            </w:r>
          </w:p>
        </w:tc>
      </w:tr>
      <w:tr>
        <w:trPr>
          <w:cantSplit w:val="0"/>
          <w:trHeight w:val="105" w:hRule="atLeast"/>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both"/>
              <w:rPr>
                <w:rFonts w:ascii="Avenir" w:cs="Avenir" w:eastAsia="Avenir" w:hAnsi="Avenir"/>
              </w:rPr>
            </w:pPr>
            <w:r w:rsidDel="00000000" w:rsidR="00000000" w:rsidRPr="00000000">
              <w:rPr>
                <w:rFonts w:ascii="Avenir" w:cs="Avenir" w:eastAsia="Avenir" w:hAnsi="Avenir"/>
                <w:color w:val="00a1cf"/>
                <w:rtl w:val="0"/>
              </w:rPr>
              <w:t xml:space="preserve">Reports to</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jc w:val="both"/>
              <w:rPr>
                <w:rFonts w:ascii="Avenir" w:cs="Avenir" w:eastAsia="Avenir" w:hAnsi="Avenir"/>
              </w:rPr>
            </w:pPr>
            <w:r w:rsidDel="00000000" w:rsidR="00000000" w:rsidRPr="00000000">
              <w:rPr>
                <w:rFonts w:ascii="Avenir" w:cs="Avenir" w:eastAsia="Avenir" w:hAnsi="Avenir"/>
                <w:rtl w:val="0"/>
              </w:rPr>
              <w:t xml:space="preserve">Head of Property and H&amp;S</w:t>
            </w:r>
          </w:p>
        </w:tc>
      </w:tr>
      <w:tr>
        <w:trPr>
          <w:cantSplit w:val="0"/>
          <w:trHeight w:val="105" w:hRule="atLeast"/>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jc w:val="both"/>
              <w:rPr>
                <w:rFonts w:ascii="Avenir" w:cs="Avenir" w:eastAsia="Avenir" w:hAnsi="Avenir"/>
                <w:color w:val="00a1cf"/>
              </w:rPr>
            </w:pPr>
            <w:r w:rsidDel="00000000" w:rsidR="00000000" w:rsidRPr="00000000">
              <w:rPr>
                <w:rFonts w:ascii="Avenir" w:cs="Avenir" w:eastAsia="Avenir" w:hAnsi="Avenir"/>
                <w:color w:val="00a1cf"/>
                <w:rtl w:val="0"/>
              </w:rPr>
              <w:t xml:space="preserve">Direct reports</w:t>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jc w:val="both"/>
              <w:rPr>
                <w:rFonts w:ascii="Avenir" w:cs="Avenir" w:eastAsia="Avenir" w:hAnsi="Avenir"/>
              </w:rPr>
            </w:pPr>
            <w:r w:rsidDel="00000000" w:rsidR="00000000" w:rsidRPr="00000000">
              <w:rPr>
                <w:rFonts w:ascii="Avenir" w:cs="Avenir" w:eastAsia="Avenir" w:hAnsi="Avenir"/>
                <w:rtl w:val="0"/>
              </w:rPr>
              <w:t xml:space="preserve">representatives from all Trust sites across all regions</w:t>
            </w:r>
          </w:p>
        </w:tc>
      </w:tr>
    </w:tbl>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12">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support all stakeholders in the delivery of compliant services and good estates management within the Facilities Management Support Teams.</w:t>
            </w:r>
          </w:p>
          <w:p w:rsidR="00000000" w:rsidDel="00000000" w:rsidP="00000000" w:rsidRDefault="00000000" w:rsidRPr="00000000" w14:paraId="00000013">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signpost stakeholders to the most appropriate and relevant H&amp;S legislation.</w:t>
            </w:r>
          </w:p>
          <w:p w:rsidR="00000000" w:rsidDel="00000000" w:rsidP="00000000" w:rsidRDefault="00000000" w:rsidRPr="00000000" w14:paraId="00000014">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add capacity to the Business Operations Team across the Trust.</w:t>
            </w:r>
          </w:p>
          <w:p w:rsidR="00000000" w:rsidDel="00000000" w:rsidP="00000000" w:rsidRDefault="00000000" w:rsidRPr="00000000" w14:paraId="00000015">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work closely with the DfE and local authorities to deliver academy new build projects.</w:t>
            </w:r>
          </w:p>
          <w:p w:rsidR="00000000" w:rsidDel="00000000" w:rsidP="00000000" w:rsidRDefault="00000000" w:rsidRPr="00000000" w14:paraId="00000016">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ensure HTs and Business Managers have the correct information to support the procurement procedures in line with the academy’s Financial Handbook.</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Property Asset Management including insurance and property valuations.</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To support the due diligence process when onboarding new schools to the Trust.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The Trust has a new build programme and the role will include being heavily involved in defects and the latent defect process</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u w:val="none"/>
              </w:rPr>
            </w:pPr>
            <w:r w:rsidDel="00000000" w:rsidR="00000000" w:rsidRPr="00000000">
              <w:rPr>
                <w:rFonts w:ascii="Avenir" w:cs="Avenir" w:eastAsia="Avenir" w:hAnsi="Avenir"/>
                <w:rtl w:val="0"/>
              </w:rPr>
              <w:t xml:space="preserve">To support the Estates Strategy and Vision and contribute to the asset management plan of the Trust</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1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Key accountabilities (and specific duties / responsibilities):</w:t>
            </w:r>
          </w:p>
          <w:p w:rsidR="00000000" w:rsidDel="00000000" w:rsidP="00000000" w:rsidRDefault="00000000" w:rsidRPr="00000000" w14:paraId="0000001E">
            <w:pPr>
              <w:spacing w:line="240" w:lineRule="auto"/>
              <w:rPr>
                <w:rFonts w:ascii="Avenir" w:cs="Avenir" w:eastAsia="Avenir" w:hAnsi="Avenir"/>
              </w:rPr>
            </w:pPr>
            <w:r w:rsidDel="00000000" w:rsidR="00000000" w:rsidRPr="00000000">
              <w:rPr>
                <w:rFonts w:ascii="Avenir" w:cs="Avenir" w:eastAsia="Avenir" w:hAnsi="Avenir"/>
                <w:rtl w:val="0"/>
              </w:rPr>
              <w:t xml:space="preserve">The responsibility of the postholder is:</w:t>
            </w:r>
          </w:p>
          <w:p w:rsidR="00000000" w:rsidDel="00000000" w:rsidP="00000000" w:rsidRDefault="00000000" w:rsidRPr="00000000" w14:paraId="0000001F">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maintain accurate record keeping and a transparent audit trail to evidence Trust wide administrational support of all stakeholders on academy sites.</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be available to support during crisis management situations.</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understand and review risk registers.</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support with PFI  contracts and negotiations including the exit strategy.</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procure support services for H&amp;S, tendering support partners, building quotes and building management support, insurance claims and advice, condition surveys and FM administrational platforms and the management of educational trips and visits.</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ensure all sites are prepared for the independent annual H&amp;S audit and to support the implementation of audit recommendations through to completion.</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regularly meet and liaise with FMs across the Trust, have an overview of all building and property maintenance issues and develop strong business cases for SCA applications.</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Third Party Contract Management of FM services, cleaning and catering services where high level management of KPIs is required.</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Promotion and practice of safeguarding the welfare of children that you come into contact with through your job role. </w:t>
            </w:r>
            <w:r w:rsidDel="00000000" w:rsidR="00000000" w:rsidRPr="00000000">
              <w:rPr>
                <w:rtl w:val="0"/>
              </w:rPr>
            </w:r>
          </w:p>
        </w:tc>
      </w:tr>
    </w:tbl>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Job Description</w:t>
      </w:r>
    </w:p>
    <w:p w:rsidR="00000000" w:rsidDel="00000000" w:rsidP="00000000" w:rsidRDefault="00000000" w:rsidRPr="00000000" w14:paraId="0000002A">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attributes required (based on job description):</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Attributes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the ability to multitask; excellent communication skills both written and verbal; can work independently and manage own workload</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7">
            <w:pPr>
              <w:widowControl w:val="0"/>
              <w:spacing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38">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Relevant to the industry (IOSH)</w:t>
            </w:r>
          </w:p>
          <w:p w:rsidR="00000000" w:rsidDel="00000000" w:rsidP="00000000" w:rsidRDefault="00000000" w:rsidRPr="00000000" w14:paraId="00000039">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General education to GCSE standard</w:t>
            </w:r>
          </w:p>
          <w:p w:rsidR="00000000" w:rsidDel="00000000" w:rsidP="00000000" w:rsidRDefault="00000000" w:rsidRPr="00000000" w14:paraId="0000003A">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Excellent IT skills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41">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evidence experience of extensive knowledge of academy sites</w:t>
            </w:r>
          </w:p>
          <w:p w:rsidR="00000000" w:rsidDel="00000000" w:rsidP="00000000" w:rsidRDefault="00000000" w:rsidRPr="00000000" w14:paraId="00000042">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demonstrate an understanding of primary and secondary property building management and compliance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49">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Engineering and understanding of the maintenance regimes</w:t>
            </w:r>
          </w:p>
          <w:p w:rsidR="00000000" w:rsidDel="00000000" w:rsidP="00000000" w:rsidRDefault="00000000" w:rsidRPr="00000000" w14:paraId="0000004A">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deliver large development projects eg renewal of a 3G sports pitch or a project in excess of £200k.</w:t>
            </w:r>
          </w:p>
          <w:p w:rsidR="00000000" w:rsidDel="00000000" w:rsidP="00000000" w:rsidRDefault="00000000" w:rsidRPr="00000000" w14:paraId="0000004B">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knowledge and understanding of contractual arrangements including commissioning and warranties. </w:t>
            </w:r>
          </w:p>
          <w:p w:rsidR="00000000" w:rsidDel="00000000" w:rsidP="00000000" w:rsidRDefault="00000000" w:rsidRPr="00000000" w14:paraId="0000004C">
            <w:pPr>
              <w:widowControl w:val="0"/>
              <w:spacing w:line="240" w:lineRule="auto"/>
              <w:ind w:left="720" w:firstLine="0"/>
              <w:rPr>
                <w:rFonts w:ascii="Avenir" w:cs="Avenir" w:eastAsia="Avenir" w:hAnsi="Avenir"/>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52">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ability work within an established team with a can-do attitude towards all issues arising</w:t>
            </w:r>
          </w:p>
          <w:p w:rsidR="00000000" w:rsidDel="00000000" w:rsidP="00000000" w:rsidRDefault="00000000" w:rsidRPr="00000000" w14:paraId="00000053">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pragmatic approach to admin and paperwork</w:t>
            </w:r>
          </w:p>
          <w:p w:rsidR="00000000" w:rsidDel="00000000" w:rsidP="00000000" w:rsidRDefault="00000000" w:rsidRPr="00000000" w14:paraId="00000054">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attention to detail</w:t>
            </w:r>
          </w:p>
          <w:p w:rsidR="00000000" w:rsidDel="00000000" w:rsidP="00000000" w:rsidRDefault="00000000" w:rsidRPr="00000000" w14:paraId="00000055">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sensible approach towards financial expenditure and the ability to work within tight budgets with a creative mindset</w:t>
            </w:r>
          </w:p>
          <w:p w:rsidR="00000000" w:rsidDel="00000000" w:rsidP="00000000" w:rsidRDefault="00000000" w:rsidRPr="00000000" w14:paraId="00000056">
            <w:pPr>
              <w:widowControl w:val="0"/>
              <w:numPr>
                <w:ilvl w:val="0"/>
                <w:numId w:val="4"/>
              </w:numPr>
              <w:spacing w:line="240" w:lineRule="auto"/>
              <w:ind w:left="720" w:hanging="360"/>
              <w:rPr>
                <w:rFonts w:ascii="Avenir" w:cs="Avenir" w:eastAsia="Avenir" w:hAnsi="Avenir"/>
                <w:b w:val="1"/>
              </w:rPr>
            </w:pPr>
            <w:bookmarkStart w:colFirst="0" w:colLast="0" w:name="_gjdgxs" w:id="0"/>
            <w:bookmarkEnd w:id="0"/>
            <w:r w:rsidDel="00000000" w:rsidR="00000000" w:rsidRPr="00000000">
              <w:rPr>
                <w:rFonts w:ascii="Avenir" w:cs="Avenir" w:eastAsia="Avenir" w:hAnsi="Avenir"/>
                <w:rtl w:val="0"/>
              </w:rPr>
              <w:t xml:space="preserve">All our colleagues are expected to demonstrate a commitment to co-operative values and principles, British Values and the Ways of Being Co-op.</w:t>
            </w:r>
            <w:r w:rsidDel="00000000" w:rsidR="00000000" w:rsidRPr="00000000">
              <w:rPr>
                <w:rtl w:val="0"/>
              </w:rPr>
            </w:r>
          </w:p>
          <w:p w:rsidR="00000000" w:rsidDel="00000000" w:rsidP="00000000" w:rsidRDefault="00000000" w:rsidRPr="00000000" w14:paraId="00000057">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Clean full driving licence</w:t>
            </w:r>
          </w:p>
          <w:p w:rsidR="00000000" w:rsidDel="00000000" w:rsidP="00000000" w:rsidRDefault="00000000" w:rsidRPr="00000000" w14:paraId="00000058">
            <w:pPr>
              <w:widowControl w:val="0"/>
              <w:spacing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Must include qualities relating to the safeguarding of children; </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Motivation to work with children</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Ability to form and maintain appropriate relationships and personal boundaries with children. </w:t>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Emotional resilience in dealing with challenging behaviour.</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Attitudes to use of authority and maintaining discipline.</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62">
      <w:pPr>
        <w:pageBreakBefore w:val="0"/>
        <w:widowControl w:val="0"/>
        <w:spacing w:line="240" w:lineRule="auto"/>
        <w:ind w:left="-709" w:right="-805" w:firstLine="0"/>
        <w:rPr>
          <w:rFonts w:ascii="Avenir" w:cs="Avenir" w:eastAsia="Avenir" w:hAnsi="Avenir"/>
        </w:rPr>
      </w:pPr>
      <w:bookmarkStart w:colFirst="0" w:colLast="0" w:name="_30j0zll" w:id="1"/>
      <w:bookmarkEnd w:id="1"/>
      <w:r w:rsidDel="00000000" w:rsidR="00000000" w:rsidRPr="00000000">
        <w:rPr>
          <w:rtl w:val="0"/>
        </w:rPr>
      </w:r>
    </w:p>
    <w:p w:rsidR="00000000" w:rsidDel="00000000" w:rsidP="00000000" w:rsidRDefault="00000000" w:rsidRPr="00000000" w14:paraId="00000063">
      <w:pPr>
        <w:pageBreakBefore w:val="0"/>
        <w:widowControl w:val="0"/>
        <w:spacing w:line="240" w:lineRule="auto"/>
        <w:ind w:left="0" w:right="0" w:firstLine="0"/>
        <w:jc w:val="both"/>
        <w:rPr>
          <w:rFonts w:ascii="Avenir" w:cs="Avenir" w:eastAsia="Avenir" w:hAnsi="Avenir"/>
          <w:color w:val="ff0000"/>
        </w:rPr>
      </w:pPr>
      <w:bookmarkStart w:colFirst="0" w:colLast="0" w:name="_1fob9te" w:id="2"/>
      <w:bookmarkEnd w:id="2"/>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64">
      <w:pPr>
        <w:pageBreakBefore w:val="0"/>
        <w:widowControl w:val="0"/>
        <w:spacing w:line="240" w:lineRule="auto"/>
        <w:ind w:left="0" w:right="0" w:firstLine="0"/>
        <w:jc w:val="both"/>
        <w:rPr>
          <w:rFonts w:ascii="Avenir" w:cs="Avenir" w:eastAsia="Avenir" w:hAnsi="Avenir"/>
        </w:rPr>
      </w:pPr>
      <w:bookmarkStart w:colFirst="0" w:colLast="0" w:name="_3znysh7" w:id="3"/>
      <w:bookmarkEnd w:id="3"/>
      <w:r w:rsidDel="00000000" w:rsidR="00000000" w:rsidRPr="00000000">
        <w:rPr>
          <w:rtl w:val="0"/>
        </w:rPr>
      </w:r>
    </w:p>
    <w:p w:rsidR="00000000" w:rsidDel="00000000" w:rsidP="00000000" w:rsidRDefault="00000000" w:rsidRPr="00000000" w14:paraId="00000065">
      <w:pPr>
        <w:pageBreakBefore w:val="0"/>
        <w:widowControl w:val="0"/>
        <w:spacing w:line="240" w:lineRule="auto"/>
        <w:ind w:left="0" w:right="0" w:firstLine="0"/>
        <w:jc w:val="both"/>
        <w:rPr>
          <w:rFonts w:ascii="Avenir" w:cs="Avenir" w:eastAsia="Avenir" w:hAnsi="Avenir"/>
        </w:rPr>
      </w:pPr>
      <w:bookmarkStart w:colFirst="0" w:colLast="0" w:name="_2et92p0" w:id="4"/>
      <w:bookmarkEnd w:id="4"/>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-828669</wp:posOffset>
          </wp:positionH>
          <wp:positionV relativeFrom="paragraph">
            <wp:posOffset>-66670</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